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BF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eastAsia="zh-CN"/>
        </w:rPr>
        <w:t>附件</w:t>
      </w:r>
    </w:p>
    <w:p w14:paraId="1B401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报 价 单</w:t>
      </w:r>
    </w:p>
    <w:p w14:paraId="11906EEA">
      <w:pPr>
        <w:tabs>
          <w:tab w:val="left" w:pos="525"/>
          <w:tab w:val="left" w:pos="945"/>
          <w:tab w:val="left" w:pos="1470"/>
          <w:tab w:val="left" w:pos="2100"/>
          <w:tab w:val="left" w:pos="3360"/>
          <w:tab w:val="left" w:pos="5460"/>
        </w:tabs>
        <w:spacing w:line="480" w:lineRule="auto"/>
        <w:ind w:left="103" w:leftChars="-8" w:right="-821" w:rightChars="-391" w:hanging="120" w:hangingChars="50"/>
        <w:rPr>
          <w:rFonts w:hint="eastAsia"/>
          <w:sz w:val="24"/>
          <w:szCs w:val="24"/>
        </w:rPr>
      </w:pPr>
      <w:r>
        <w:rPr>
          <w:rFonts w:hint="eastAsia"/>
          <w:bCs/>
          <w:sz w:val="24"/>
          <w:szCs w:val="24"/>
          <w:lang w:eastAsia="zh-CN"/>
        </w:rPr>
        <w:t>项目名称</w:t>
      </w:r>
      <w:r>
        <w:rPr>
          <w:bCs/>
          <w:sz w:val="24"/>
          <w:szCs w:val="24"/>
        </w:rPr>
        <w:t>：</w:t>
      </w:r>
      <w:r>
        <w:rPr>
          <w:rFonts w:hint="default" w:hAnsi="宋体"/>
          <w:sz w:val="24"/>
          <w:szCs w:val="24"/>
          <w:u w:val="single"/>
          <w:lang w:eastAsia="zh-CN"/>
        </w:rPr>
        <w:t xml:space="preserve">  </w:t>
      </w:r>
      <w:r>
        <w:rPr>
          <w:rFonts w:hint="eastAsia" w:hAnsi="宋体"/>
          <w:sz w:val="24"/>
          <w:szCs w:val="24"/>
          <w:u w:val="single"/>
          <w:lang w:eastAsia="zh-CN"/>
        </w:rPr>
        <w:t>南通市海门区工人文化宫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4楼乒乓球室布置项目</w:t>
      </w:r>
      <w:r>
        <w:rPr>
          <w:rFonts w:hint="default" w:hAnsi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default" w:hAnsi="宋体"/>
          <w:sz w:val="24"/>
          <w:szCs w:val="24"/>
          <w:u w:val="single"/>
          <w:lang w:eastAsia="zh-CN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203"/>
        <w:gridCol w:w="6369"/>
      </w:tblGrid>
      <w:tr w14:paraId="7DD1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637" w:type="dxa"/>
            <w:noWrap w:val="0"/>
            <w:vAlign w:val="center"/>
          </w:tcPr>
          <w:p w14:paraId="40988168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序</w:t>
            </w:r>
          </w:p>
          <w:p w14:paraId="725E06F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号</w:t>
            </w:r>
          </w:p>
        </w:tc>
        <w:tc>
          <w:tcPr>
            <w:tcW w:w="1203" w:type="dxa"/>
            <w:noWrap w:val="0"/>
            <w:vAlign w:val="center"/>
          </w:tcPr>
          <w:p w14:paraId="3FA4E2FF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lang w:eastAsia="zh-CN"/>
              </w:rPr>
              <w:t>采购标的</w:t>
            </w:r>
          </w:p>
        </w:tc>
        <w:tc>
          <w:tcPr>
            <w:tcW w:w="6369" w:type="dxa"/>
            <w:noWrap w:val="0"/>
            <w:vAlign w:val="center"/>
          </w:tcPr>
          <w:p w14:paraId="49658056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lang w:eastAsia="zh-CN"/>
              </w:rPr>
              <w:t>工作内容</w:t>
            </w:r>
          </w:p>
        </w:tc>
      </w:tr>
      <w:tr w14:paraId="6F32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  <w:noWrap w:val="0"/>
            <w:vAlign w:val="center"/>
          </w:tcPr>
          <w:p w14:paraId="34A9D3C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03" w:type="dxa"/>
            <w:noWrap w:val="0"/>
            <w:vAlign w:val="center"/>
          </w:tcPr>
          <w:p w14:paraId="7CC5F240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乒乓球室</w:t>
            </w:r>
          </w:p>
        </w:tc>
        <w:tc>
          <w:tcPr>
            <w:tcW w:w="6369" w:type="dxa"/>
            <w:noWrap w:val="0"/>
            <w:vAlign w:val="center"/>
          </w:tcPr>
          <w:p w14:paraId="58856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（1）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拆除墙体，1项；</w:t>
            </w:r>
          </w:p>
          <w:p w14:paraId="63FD7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（2）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修复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地面，1项；</w:t>
            </w:r>
          </w:p>
          <w:p w14:paraId="74BA2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（3）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修复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两侧墙面，1项；</w:t>
            </w:r>
          </w:p>
          <w:p w14:paraId="02030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（4）铺设地胶、自流平，1项；</w:t>
            </w:r>
          </w:p>
          <w:p w14:paraId="3ADAC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（5）调整门，1项；</w:t>
            </w:r>
          </w:p>
          <w:p w14:paraId="5743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（6）更换吊灯、电工电料，1项。</w:t>
            </w:r>
          </w:p>
          <w:p w14:paraId="3DCCB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（7）清运垃圾，1项。</w:t>
            </w:r>
          </w:p>
        </w:tc>
      </w:tr>
      <w:tr w14:paraId="30D84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209" w:type="dxa"/>
            <w:gridSpan w:val="3"/>
            <w:noWrap w:val="0"/>
            <w:vAlign w:val="center"/>
          </w:tcPr>
          <w:p w14:paraId="2B86CC7E">
            <w:pPr>
              <w:jc w:val="left"/>
              <w:rPr>
                <w:rFonts w:hint="default" w:ascii="Times New Roman" w:hAnsi="Times New Roman" w:eastAsia="宋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响应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报价（人民币大写）：</w:t>
            </w:r>
          </w:p>
        </w:tc>
      </w:tr>
      <w:tr w14:paraId="0DC0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09" w:type="dxa"/>
            <w:gridSpan w:val="3"/>
            <w:noWrap w:val="0"/>
            <w:vAlign w:val="center"/>
          </w:tcPr>
          <w:p w14:paraId="342576AB">
            <w:pPr>
              <w:jc w:val="left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备注：</w:t>
            </w:r>
          </w:p>
          <w:p w14:paraId="7F10D3E8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1、本项目采用固定总价合同，并视为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响应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供应商预见并充分考虑一切量和价的风险。</w:t>
            </w:r>
          </w:p>
          <w:p w14:paraId="5A04F28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val="en-US" w:eastAsia="zh-CN"/>
              </w:rPr>
              <w:t>2、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响应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供应商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的报价应包括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eastAsia="zh-CN"/>
              </w:rPr>
              <w:t>本项目采购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范围内的全部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eastAsia="zh-CN"/>
              </w:rPr>
              <w:t>工作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内容，以及为完成上述内容所必须的附属工程、临时工程、材料、劳务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eastAsia="zh-CN"/>
              </w:rPr>
              <w:t>、安全措施费用、管理费用、税金等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全部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eastAsia="zh-CN"/>
              </w:rPr>
              <w:t>费用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eastAsia="zh-CN"/>
              </w:rPr>
              <w:t>。</w:t>
            </w:r>
          </w:p>
          <w:p w14:paraId="6A598B7E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val="en-US" w:eastAsia="zh-CN"/>
              </w:rPr>
              <w:t>3、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响应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供应商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  <w:t>在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报价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eastAsia="zh-CN"/>
              </w:rPr>
              <w:t>前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应当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自行踏勘现场，充分了解现场任何影响承包价之情况，根据现场情况考虑相应的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实施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方案，并将相关费用考虑在报价中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成交供应商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任何忽视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或者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误解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项目现场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情况而导致的成本增加或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合同期限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延长等申请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，采购人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一律不予认可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。</w:t>
            </w:r>
          </w:p>
          <w:p w14:paraId="06A9C7DB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>4、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响应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供应商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  <w:t>在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报价时</w:t>
            </w:r>
            <w:r>
              <w:rPr>
                <w:rFonts w:hint="eastAsia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  <w:lang w:eastAsia="zh-CN"/>
              </w:rPr>
              <w:t>应当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充分考虑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履约期间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u w:val="none" w:color="000000"/>
              </w:rPr>
              <w:t>各类材料、劳务的市场风险及政策性调整因素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，并将相关费用考虑在报价中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eastAsia="zh-CN"/>
              </w:rPr>
              <w:t>。</w:t>
            </w:r>
          </w:p>
          <w:p w14:paraId="576FE7F3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成交供应商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在履约期间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应当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注意周边环境，减少对周围环境的影响（灰尘、噪音等）。</w:t>
            </w:r>
          </w:p>
          <w:p w14:paraId="2ACCB0CB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成交供应商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在履约期间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应当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维护施工及交通安全，并对项目履约及质保期的安全问题（包括第三者）负全责。</w:t>
            </w:r>
          </w:p>
          <w:p w14:paraId="427855E7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成交供应商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在履约期间不得破坏周围地下管线和邻近建筑物、构筑物，如有破坏，应当承担因自身原因造成的一切责任和后果。</w:t>
            </w:r>
          </w:p>
          <w:p w14:paraId="78275B7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、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成交供应商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在申请验收前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应当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拆除现场所有临时设施，并将所有的机械设备、材料及垃圾全部清理、运出现场，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还应当将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施工现场清扫干净。</w:t>
            </w:r>
          </w:p>
        </w:tc>
      </w:tr>
    </w:tbl>
    <w:p w14:paraId="00C98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2880" w:firstLineChars="1200"/>
        <w:textAlignment w:val="auto"/>
        <w:rPr>
          <w:rFonts w:hint="eastAsia" w:ascii="Times New Roman" w:hAnsi="Times New Roman" w:eastAsia="宋体" w:cs="Times New Roman"/>
          <w:bCs/>
          <w:sz w:val="24"/>
          <w:lang w:eastAsia="zh-CN"/>
        </w:rPr>
      </w:pPr>
      <w:r>
        <w:rPr>
          <w:rFonts w:hint="eastAsia" w:ascii="Times New Roman" w:hAnsi="Times New Roman" w:cs="Times New Roman"/>
          <w:bCs/>
          <w:sz w:val="24"/>
          <w:lang w:eastAsia="zh-CN"/>
        </w:rPr>
        <w:t>供应商（盖章）：</w:t>
      </w:r>
    </w:p>
    <w:p w14:paraId="04606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2880" w:firstLineChars="1200"/>
        <w:textAlignment w:val="auto"/>
        <w:rPr>
          <w:rFonts w:hint="default" w:ascii="Times New Roman" w:hAnsi="Times New Roman" w:cs="Times New Roman"/>
          <w:bCs/>
          <w:sz w:val="24"/>
        </w:rPr>
      </w:pPr>
      <w:r>
        <w:rPr>
          <w:rFonts w:hint="default" w:ascii="Times New Roman" w:hAnsi="Times New Roman" w:cs="Times New Roman"/>
          <w:bCs/>
          <w:sz w:val="24"/>
        </w:rPr>
        <w:t>法定代表人（或授权代表）签名：</w:t>
      </w:r>
    </w:p>
    <w:p w14:paraId="1DF94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4560" w:firstLineChars="1900"/>
        <w:jc w:val="both"/>
        <w:textAlignment w:val="auto"/>
      </w:pPr>
      <w:r>
        <w:rPr>
          <w:rFonts w:hint="eastAsia" w:hAnsi="宋体"/>
          <w:sz w:val="24"/>
          <w:szCs w:val="24"/>
        </w:rPr>
        <w:t>日期：</w:t>
      </w:r>
      <w:r>
        <w:rPr>
          <w:rFonts w:hint="eastAsia" w:hAnsi="宋体"/>
          <w:sz w:val="24"/>
          <w:szCs w:val="24"/>
          <w:u w:val="single"/>
        </w:rPr>
        <w:t xml:space="preserve">       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   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</w:rPr>
        <w:t xml:space="preserve">      </w:t>
      </w:r>
      <w:r>
        <w:rPr>
          <w:rFonts w:hint="eastAsia" w:hAnsi="宋体"/>
          <w:sz w:val="24"/>
          <w:szCs w:val="24"/>
        </w:rPr>
        <w:t>日</w:t>
      </w:r>
    </w:p>
    <w:p w14:paraId="288E0F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E4987"/>
    <w:rsid w:val="63EE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2026-06-10T06:48:00Z</dcterms:created>
  <dc:creator>施柳柳</dc:creator>
  <cp:lastModifiedBy>施柳柳</cp:lastModifiedBy>
  <dcterms:modified xsi:type="dcterms:W3CDTF">2026-06-10T06:49:10Z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DE955CEDC46D46DE80A37B7247E300D0_11</vt:lpwstr>
  </property>
  <property fmtid="{D5CDD505-2E9C-101B-9397-08002B2CF9AE}" pid="4" name="KSOTemplateDocerSaveRecord">
    <vt:lpwstr>eyJoZGlkIjoiOTJiNzVhNDI2OTQ2MmI3NTI3M2RhNjgzZGJkMzQ2NjMiLCJ1c2VySWQiOiIxNjIzNzgyMjcyIn0=</vt:lpwstr>
  </property>
</Properties>
</file>