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pPr w:leftFromText="180" w:rightFromText="180" w:vertAnchor="text" w:horzAnchor="page" w:tblpX="1282" w:tblpYSpec="top"/>
        <w:tblOverlap w:val="never"/>
        <w:tblW w:w="0" w:type="auto"/>
        <w:tblInd w:w="0" w:type="dxa"/>
        <w:tblBorders>
          <w:top w:val="none" w:color="auto" w:sz="0" w:space="0"/>
          <w:left w:val="none" w:color="auto" w:sz="0"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40"/>
      </w:tblGrid>
      <w:tr w14:paraId="3ED76577">
        <w:tblPrEx>
          <w:tblBorders>
            <w:top w:val="none" w:color="auto" w:sz="0" w:space="0"/>
            <w:left w:val="none" w:color="auto" w:sz="0"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14" w:hRule="atLeast"/>
        </w:trPr>
        <w:tc>
          <w:tcPr>
            <w:tcW w:w="1440" w:type="dxa"/>
            <w:tcBorders>
              <w:right w:val="double" w:color="auto" w:sz="12" w:space="0"/>
            </w:tcBorders>
            <w:noWrap w:val="0"/>
            <w:vAlign w:val="center"/>
          </w:tcPr>
          <w:p w14:paraId="3CA0E837">
            <w:pPr>
              <w:jc w:val="center"/>
              <w:rPr>
                <w:rFonts w:hint="eastAsia" w:eastAsia="黑体"/>
                <w:b/>
                <w:sz w:val="56"/>
              </w:rPr>
            </w:pPr>
            <w:r>
              <w:rPr>
                <w:rFonts w:hint="eastAsia" w:eastAsia="黑体"/>
                <w:b/>
                <w:sz w:val="56"/>
              </w:rPr>
              <w:t>海</w:t>
            </w:r>
          </w:p>
          <w:p w14:paraId="6E35996B">
            <w:pPr>
              <w:jc w:val="center"/>
              <w:rPr>
                <w:rFonts w:hint="eastAsia" w:eastAsia="黑体"/>
                <w:b/>
                <w:sz w:val="56"/>
              </w:rPr>
            </w:pPr>
            <w:r>
              <w:rPr>
                <w:rFonts w:hint="eastAsia" w:eastAsia="黑体"/>
                <w:b/>
                <w:sz w:val="56"/>
              </w:rPr>
              <w:t>门</w:t>
            </w:r>
          </w:p>
          <w:p w14:paraId="7F26D7B6">
            <w:pPr>
              <w:jc w:val="center"/>
              <w:rPr>
                <w:rFonts w:hint="eastAsia" w:eastAsia="黑体"/>
                <w:b/>
                <w:sz w:val="56"/>
                <w:lang w:val="en-US" w:eastAsia="zh-CN"/>
              </w:rPr>
            </w:pPr>
            <w:r>
              <w:rPr>
                <w:rFonts w:hint="eastAsia" w:eastAsia="黑体"/>
                <w:b/>
                <w:sz w:val="56"/>
                <w:lang w:val="en-US" w:eastAsia="zh-CN"/>
              </w:rPr>
              <w:t>区</w:t>
            </w:r>
          </w:p>
          <w:p w14:paraId="16342841">
            <w:pPr>
              <w:jc w:val="center"/>
              <w:rPr>
                <w:rFonts w:hint="eastAsia" w:eastAsia="黑体"/>
                <w:b/>
                <w:sz w:val="56"/>
              </w:rPr>
            </w:pPr>
            <w:r>
              <w:rPr>
                <w:rFonts w:hint="eastAsia" w:eastAsia="黑体"/>
                <w:b/>
                <w:sz w:val="56"/>
              </w:rPr>
              <w:t>人</w:t>
            </w:r>
          </w:p>
          <w:p w14:paraId="01AE705D">
            <w:pPr>
              <w:jc w:val="center"/>
              <w:rPr>
                <w:rFonts w:hint="eastAsia" w:eastAsia="黑体"/>
                <w:b/>
                <w:sz w:val="56"/>
              </w:rPr>
            </w:pPr>
            <w:r>
              <w:rPr>
                <w:rFonts w:hint="eastAsia" w:eastAsia="黑体"/>
                <w:b/>
                <w:sz w:val="56"/>
              </w:rPr>
              <w:t>民</w:t>
            </w:r>
          </w:p>
          <w:p w14:paraId="48B9C1AC">
            <w:pPr>
              <w:jc w:val="center"/>
              <w:rPr>
                <w:rFonts w:hint="eastAsia" w:eastAsia="黑体"/>
                <w:b/>
                <w:sz w:val="56"/>
              </w:rPr>
            </w:pPr>
            <w:r>
              <w:rPr>
                <w:rFonts w:hint="eastAsia" w:eastAsia="黑体"/>
                <w:b/>
                <w:sz w:val="56"/>
              </w:rPr>
              <w:t>政</w:t>
            </w:r>
          </w:p>
          <w:p w14:paraId="5C8AA295">
            <w:pPr>
              <w:jc w:val="center"/>
              <w:rPr>
                <w:rFonts w:hint="eastAsia" w:eastAsia="黑体"/>
                <w:b/>
                <w:sz w:val="56"/>
              </w:rPr>
            </w:pPr>
            <w:r>
              <w:rPr>
                <w:rFonts w:hint="eastAsia" w:eastAsia="黑体"/>
                <w:b/>
                <w:sz w:val="56"/>
              </w:rPr>
              <w:t>府</w:t>
            </w:r>
          </w:p>
          <w:p w14:paraId="74B7AABD">
            <w:pPr>
              <w:jc w:val="center"/>
              <w:rPr>
                <w:rFonts w:hint="eastAsia" w:eastAsia="黑体"/>
                <w:b/>
                <w:sz w:val="56"/>
              </w:rPr>
            </w:pPr>
            <w:r>
              <w:rPr>
                <w:rFonts w:hint="eastAsia" w:eastAsia="黑体"/>
                <w:b/>
                <w:sz w:val="56"/>
              </w:rPr>
              <w:t>公</w:t>
            </w:r>
          </w:p>
          <w:p w14:paraId="70F81123">
            <w:pPr>
              <w:jc w:val="center"/>
              <w:rPr>
                <w:rFonts w:hint="eastAsia" w:eastAsia="黑体"/>
                <w:b/>
                <w:sz w:val="52"/>
              </w:rPr>
            </w:pPr>
            <w:r>
              <w:rPr>
                <w:rFonts w:hint="eastAsia" w:eastAsia="黑体"/>
                <w:b/>
                <w:sz w:val="56"/>
              </w:rPr>
              <w:t>报</w:t>
            </w:r>
          </w:p>
        </w:tc>
      </w:tr>
    </w:tbl>
    <w:p w14:paraId="7617751B">
      <w:pPr>
        <w:pBdr>
          <w:bottom w:val="single" w:color="auto" w:sz="18" w:space="1"/>
        </w:pBdr>
        <w:jc w:val="center"/>
        <w:rPr>
          <w:rFonts w:hint="eastAsia" w:ascii="黑体" w:eastAsia="黑体"/>
          <w:b/>
          <w:sz w:val="32"/>
        </w:rPr>
      </w:pPr>
      <w:r>
        <w:rPr>
          <w:rFonts w:hint="eastAsia" w:ascii="黑体" w:eastAsia="黑体"/>
          <w:b/>
          <w:sz w:val="28"/>
        </w:rPr>
        <w:t>202</w:t>
      </w:r>
      <w:r>
        <w:rPr>
          <w:rFonts w:hint="eastAsia" w:ascii="黑体" w:eastAsia="黑体"/>
          <w:b/>
          <w:sz w:val="28"/>
          <w:lang w:val="en-US" w:eastAsia="zh-CN"/>
        </w:rPr>
        <w:t>6</w:t>
      </w:r>
      <w:r>
        <w:rPr>
          <w:rFonts w:hint="eastAsia" w:ascii="黑体" w:eastAsia="黑体"/>
          <w:b/>
          <w:sz w:val="44"/>
        </w:rPr>
        <w:t>第</w:t>
      </w:r>
      <w:r>
        <w:rPr>
          <w:rFonts w:hint="eastAsia" w:ascii="黑体" w:eastAsia="黑体"/>
          <w:b/>
          <w:sz w:val="44"/>
          <w:lang w:val="en-US" w:eastAsia="zh-CN"/>
        </w:rPr>
        <w:t>2</w:t>
      </w:r>
      <w:r>
        <w:rPr>
          <w:rFonts w:hint="eastAsia" w:ascii="黑体" w:eastAsia="黑体"/>
          <w:b/>
          <w:sz w:val="44"/>
        </w:rPr>
        <w:t>期</w:t>
      </w:r>
      <w:r>
        <w:rPr>
          <w:rFonts w:hint="eastAsia" w:ascii="黑体" w:eastAsia="黑体"/>
          <w:b/>
          <w:sz w:val="28"/>
        </w:rPr>
        <w:t>（总第1</w:t>
      </w:r>
      <w:r>
        <w:rPr>
          <w:rFonts w:hint="eastAsia" w:ascii="黑体" w:eastAsia="黑体"/>
          <w:b/>
          <w:sz w:val="28"/>
          <w:lang w:val="en-US" w:eastAsia="zh-CN"/>
        </w:rPr>
        <w:t>65</w:t>
      </w:r>
      <w:r>
        <w:rPr>
          <w:rFonts w:hint="eastAsia" w:ascii="黑体" w:eastAsia="黑体"/>
          <w:b/>
          <w:sz w:val="28"/>
        </w:rPr>
        <w:t>期）</w:t>
      </w:r>
    </w:p>
    <w:p w14:paraId="48F65525">
      <w:pPr>
        <w:jc w:val="center"/>
        <w:rPr>
          <w:rFonts w:hint="eastAsia" w:eastAsia="华文行楷"/>
          <w:b/>
          <w:sz w:val="32"/>
        </w:rPr>
      </w:pPr>
    </w:p>
    <w:p w14:paraId="3FEA8367">
      <w:pPr>
        <w:jc w:val="center"/>
        <w:rPr>
          <w:rFonts w:hint="eastAsia" w:eastAsia="黑体"/>
          <w:b/>
          <w:sz w:val="72"/>
        </w:rPr>
      </w:pPr>
      <w:r>
        <w:rPr>
          <w:rFonts w:hint="eastAsia" w:eastAsia="黑体"/>
          <w:b/>
          <w:sz w:val="72"/>
        </w:rPr>
        <w:t>目 录</w:t>
      </w:r>
    </w:p>
    <w:p w14:paraId="5789AA1C">
      <w:pPr>
        <w:adjustRightInd w:val="0"/>
        <w:snapToGrid w:val="0"/>
        <w:spacing w:line="240" w:lineRule="exact"/>
        <w:jc w:val="center"/>
        <w:rPr>
          <w:rFonts w:hint="eastAsia" w:ascii="黑体" w:hAnsi="宋体" w:eastAsia="黑体"/>
          <w:b/>
          <w:sz w:val="24"/>
          <w:szCs w:val="24"/>
        </w:rPr>
      </w:pPr>
    </w:p>
    <w:p w14:paraId="7B049E76">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黑体" w:hAnsi="宋体" w:eastAsia="黑体"/>
          <w:b/>
          <w:sz w:val="24"/>
          <w:szCs w:val="24"/>
        </w:rPr>
      </w:pPr>
      <w:r>
        <w:rPr>
          <w:rFonts w:hint="eastAsia" w:ascii="黑体" w:hAnsi="宋体" w:eastAsia="黑体"/>
          <w:b/>
          <w:sz w:val="24"/>
          <w:szCs w:val="24"/>
        </w:rPr>
        <w:t>文件选登</w:t>
      </w:r>
    </w:p>
    <w:p w14:paraId="29BD1270">
      <w:pPr>
        <w:keepNext w:val="0"/>
        <w:keepLines w:val="0"/>
        <w:pageBreakBefore w:val="0"/>
        <w:widowControl w:val="0"/>
        <w:tabs>
          <w:tab w:val="right" w:leader="dot" w:pos="7980"/>
        </w:tabs>
        <w:kinsoku/>
        <w:wordWrap/>
        <w:overflowPunct/>
        <w:topLinePunct w:val="0"/>
        <w:autoSpaceDE/>
        <w:autoSpaceDN/>
        <w:bidi w:val="0"/>
        <w:adjustRightInd/>
        <w:snapToGrid/>
        <w:spacing w:line="360" w:lineRule="exact"/>
        <w:textAlignment w:val="auto"/>
        <w:rPr>
          <w:rFonts w:hint="default" w:ascii="宋体" w:hAnsi="宋体" w:eastAsia="宋体" w:cs="宋体"/>
          <w:color w:val="auto"/>
          <w:spacing w:val="-11"/>
          <w:sz w:val="24"/>
          <w:szCs w:val="24"/>
          <w:lang w:val="en-US" w:eastAsia="zh-CN"/>
        </w:rPr>
      </w:pPr>
      <w:r>
        <w:rPr>
          <w:rFonts w:hint="eastAsia" w:ascii="宋体" w:hAnsi="宋体" w:eastAsia="宋体" w:cs="宋体"/>
          <w:color w:val="auto"/>
          <w:spacing w:val="-11"/>
          <w:sz w:val="24"/>
          <w:szCs w:val="24"/>
          <w:lang w:val="en-US" w:eastAsia="zh-CN"/>
        </w:rPr>
        <w:t>区政府关于印发《南通市海门区国民经济和社会发展第十五个五年规划纲要》的通知</w:t>
      </w:r>
      <w:r>
        <w:rPr>
          <w:rFonts w:hint="eastAsia" w:ascii="宋体" w:hAnsi="宋体" w:eastAsia="宋体" w:cs="宋体"/>
          <w:color w:val="auto"/>
          <w:spacing w:val="-11"/>
          <w:sz w:val="24"/>
          <w:szCs w:val="24"/>
          <w:lang w:val="en-US" w:eastAsia="zh-CN"/>
        </w:rPr>
        <w:tab/>
      </w:r>
      <w:r>
        <w:rPr>
          <w:rFonts w:hint="eastAsia" w:ascii="宋体" w:hAnsi="宋体" w:eastAsia="宋体" w:cs="宋体"/>
          <w:color w:val="auto"/>
          <w:spacing w:val="-11"/>
          <w:sz w:val="24"/>
          <w:szCs w:val="24"/>
          <w:lang w:val="en-US" w:eastAsia="zh-CN"/>
        </w:rPr>
        <w:t>(1)</w:t>
      </w:r>
    </w:p>
    <w:p w14:paraId="3676BC2A">
      <w:pPr>
        <w:keepNext w:val="0"/>
        <w:keepLines w:val="0"/>
        <w:pageBreakBefore w:val="0"/>
        <w:widowControl w:val="0"/>
        <w:tabs>
          <w:tab w:val="right" w:leader="dot" w:pos="7980"/>
        </w:tabs>
        <w:kinsoku/>
        <w:wordWrap/>
        <w:overflowPunct/>
        <w:topLinePunct w:val="0"/>
        <w:autoSpaceDE/>
        <w:autoSpaceDN/>
        <w:bidi w:val="0"/>
        <w:adjustRightInd/>
        <w:snapToGrid/>
        <w:spacing w:line="360" w:lineRule="exact"/>
        <w:textAlignment w:val="auto"/>
        <w:rPr>
          <w:rFonts w:hint="default" w:ascii="宋体" w:hAnsi="宋体" w:eastAsia="宋体" w:cs="宋体"/>
          <w:color w:val="auto"/>
          <w:spacing w:val="-11"/>
          <w:sz w:val="24"/>
          <w:szCs w:val="24"/>
          <w:lang w:val="en-US" w:eastAsia="zh-CN"/>
        </w:rPr>
      </w:pPr>
      <w:r>
        <w:rPr>
          <w:rFonts w:hint="eastAsia" w:ascii="宋体" w:hAnsi="宋体" w:eastAsia="宋体" w:cs="宋体"/>
          <w:color w:val="auto"/>
          <w:spacing w:val="-11"/>
          <w:sz w:val="24"/>
          <w:szCs w:val="24"/>
          <w:lang w:val="en-US" w:eastAsia="zh-CN"/>
        </w:rPr>
        <w:t>关于明确区政府部分领导同志工作分工的通知</w:t>
      </w:r>
      <w:r>
        <w:rPr>
          <w:rFonts w:hint="eastAsia" w:ascii="宋体" w:hAnsi="宋体" w:eastAsia="宋体" w:cs="宋体"/>
          <w:color w:val="auto"/>
          <w:spacing w:val="-11"/>
          <w:sz w:val="24"/>
          <w:szCs w:val="24"/>
          <w:lang w:val="en-US" w:eastAsia="zh-CN"/>
        </w:rPr>
        <w:tab/>
      </w:r>
      <w:r>
        <w:rPr>
          <w:rFonts w:hint="eastAsia" w:ascii="宋体" w:hAnsi="宋体" w:eastAsia="宋体" w:cs="宋体"/>
          <w:color w:val="auto"/>
          <w:spacing w:val="-11"/>
          <w:sz w:val="24"/>
          <w:szCs w:val="24"/>
          <w:lang w:val="en-US" w:eastAsia="zh-CN"/>
        </w:rPr>
        <w:t>(1)</w:t>
      </w:r>
    </w:p>
    <w:p w14:paraId="213258F6">
      <w:pPr>
        <w:keepNext w:val="0"/>
        <w:keepLines w:val="0"/>
        <w:pageBreakBefore w:val="0"/>
        <w:widowControl w:val="0"/>
        <w:tabs>
          <w:tab w:val="right" w:leader="dot" w:pos="7980"/>
        </w:tabs>
        <w:kinsoku/>
        <w:wordWrap/>
        <w:overflowPunct/>
        <w:topLinePunct w:val="0"/>
        <w:autoSpaceDE/>
        <w:autoSpaceDN/>
        <w:bidi w:val="0"/>
        <w:adjustRightInd/>
        <w:snapToGrid/>
        <w:spacing w:line="360" w:lineRule="exact"/>
        <w:textAlignment w:val="auto"/>
        <w:rPr>
          <w:rFonts w:hint="default" w:ascii="宋体" w:hAnsi="宋体" w:eastAsia="宋体" w:cs="宋体"/>
          <w:color w:val="auto"/>
          <w:spacing w:val="-11"/>
          <w:sz w:val="24"/>
          <w:szCs w:val="24"/>
          <w:lang w:val="en-US" w:eastAsia="zh-CN"/>
        </w:rPr>
      </w:pPr>
      <w:r>
        <w:rPr>
          <w:rFonts w:hint="eastAsia" w:ascii="宋体" w:hAnsi="宋体" w:eastAsia="宋体" w:cs="宋体"/>
          <w:color w:val="auto"/>
          <w:spacing w:val="-11"/>
          <w:sz w:val="24"/>
          <w:szCs w:val="24"/>
          <w:lang w:val="en-US" w:eastAsia="zh-CN"/>
        </w:rPr>
        <w:t>南通市海门区人民政府关于2025年度法治政府建设情况的报告</w:t>
      </w:r>
      <w:r>
        <w:rPr>
          <w:rFonts w:hint="eastAsia" w:ascii="宋体" w:hAnsi="宋体" w:eastAsia="宋体" w:cs="宋体"/>
          <w:color w:val="auto"/>
          <w:spacing w:val="-11"/>
          <w:sz w:val="24"/>
          <w:szCs w:val="24"/>
          <w:lang w:val="en-US" w:eastAsia="zh-CN"/>
        </w:rPr>
        <w:tab/>
      </w:r>
      <w:r>
        <w:rPr>
          <w:rFonts w:hint="eastAsia" w:ascii="宋体" w:hAnsi="宋体" w:eastAsia="宋体" w:cs="宋体"/>
          <w:color w:val="auto"/>
          <w:spacing w:val="-11"/>
          <w:sz w:val="24"/>
          <w:szCs w:val="24"/>
          <w:lang w:val="en-US" w:eastAsia="zh-CN"/>
        </w:rPr>
        <w:t>(2)</w:t>
      </w:r>
    </w:p>
    <w:p w14:paraId="6997A0E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宋体" w:eastAsia="黑体"/>
          <w:b/>
          <w:sz w:val="24"/>
          <w:szCs w:val="24"/>
          <w:lang w:val="en-US" w:eastAsia="zh-CN"/>
        </w:rPr>
      </w:pPr>
    </w:p>
    <w:p w14:paraId="0B3809A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黑体" w:hAnsi="宋体" w:eastAsia="黑体"/>
          <w:b/>
          <w:sz w:val="24"/>
          <w:szCs w:val="24"/>
          <w:lang w:val="en-US" w:eastAsia="zh-CN"/>
        </w:rPr>
      </w:pPr>
      <w:r>
        <w:rPr>
          <w:rFonts w:hint="eastAsia" w:ascii="黑体" w:hAnsi="宋体" w:eastAsia="黑体"/>
          <w:b/>
          <w:sz w:val="24"/>
          <w:szCs w:val="24"/>
          <w:lang w:val="en-US" w:eastAsia="zh-CN"/>
        </w:rPr>
        <w:t>人事任免</w:t>
      </w:r>
    </w:p>
    <w:p w14:paraId="5E49827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宋体" w:eastAsia="黑体"/>
          <w:b/>
          <w:sz w:val="24"/>
          <w:szCs w:val="24"/>
        </w:rPr>
      </w:pPr>
    </w:p>
    <w:p w14:paraId="66C8B2A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华文新魏" w:hAnsi="宋体" w:eastAsia="华文新魏" w:cs="宋体"/>
          <w:kern w:val="0"/>
          <w:sz w:val="48"/>
          <w:szCs w:val="48"/>
          <w:bdr w:val="wave" w:color="auto" w:sz="6" w:space="0"/>
        </w:rPr>
      </w:pPr>
      <w:r>
        <w:rPr>
          <w:rFonts w:hint="eastAsia" w:ascii="黑体" w:hAnsi="宋体" w:eastAsia="黑体"/>
          <w:b/>
          <w:sz w:val="24"/>
          <w:szCs w:val="24"/>
        </w:rPr>
        <w:t>大事记</w:t>
      </w:r>
    </w:p>
    <w:p w14:paraId="389EC12F">
      <w:pPr>
        <w:ind w:right="25" w:rightChars="12"/>
        <w:rPr>
          <w:rFonts w:hint="eastAsia" w:ascii="华文新魏" w:hAnsi="宋体" w:eastAsia="华文新魏" w:cs="宋体"/>
          <w:kern w:val="0"/>
          <w:sz w:val="48"/>
          <w:szCs w:val="48"/>
          <w:bdr w:val="wave" w:color="auto" w:sz="6" w:space="0"/>
        </w:rPr>
      </w:pPr>
    </w:p>
    <w:p w14:paraId="1C2FEB47">
      <w:pPr>
        <w:ind w:right="25" w:rightChars="12"/>
        <w:rPr>
          <w:rFonts w:hint="eastAsia" w:ascii="华文新魏" w:hAnsi="宋体" w:eastAsia="华文新魏" w:cs="宋体"/>
          <w:kern w:val="0"/>
          <w:sz w:val="48"/>
          <w:szCs w:val="48"/>
          <w:bdr w:val="wave" w:color="auto" w:sz="6" w:space="0"/>
        </w:rPr>
      </w:pPr>
    </w:p>
    <w:p w14:paraId="32A11EF1">
      <w:pPr>
        <w:ind w:right="25" w:rightChars="12"/>
        <w:rPr>
          <w:rFonts w:hint="eastAsia" w:ascii="华文新魏" w:hAnsi="宋体" w:eastAsia="华文新魏" w:cs="宋体"/>
          <w:kern w:val="0"/>
          <w:sz w:val="48"/>
          <w:szCs w:val="48"/>
          <w:bdr w:val="wave" w:color="auto" w:sz="6" w:space="0"/>
        </w:rPr>
      </w:pPr>
    </w:p>
    <w:p w14:paraId="74DF913F">
      <w:pPr>
        <w:ind w:right="25" w:rightChars="12"/>
        <w:rPr>
          <w:rFonts w:hint="eastAsia" w:ascii="华文新魏" w:hAnsi="宋体" w:eastAsia="华文新魏" w:cs="宋体"/>
          <w:kern w:val="0"/>
          <w:sz w:val="48"/>
          <w:szCs w:val="48"/>
          <w:bdr w:val="wave" w:color="auto" w:sz="6" w:space="0"/>
        </w:rPr>
      </w:pPr>
    </w:p>
    <w:p w14:paraId="61CAFE4C">
      <w:pPr>
        <w:ind w:right="25" w:rightChars="12"/>
        <w:rPr>
          <w:rFonts w:hint="eastAsia" w:ascii="华文新魏" w:hAnsi="宋体" w:eastAsia="华文新魏" w:cs="宋体"/>
          <w:kern w:val="0"/>
          <w:sz w:val="48"/>
          <w:szCs w:val="48"/>
          <w:bdr w:val="wave" w:color="auto" w:sz="6" w:space="0"/>
        </w:rPr>
      </w:pPr>
    </w:p>
    <w:p w14:paraId="0815385E">
      <w:pPr>
        <w:ind w:right="25" w:rightChars="12"/>
        <w:rPr>
          <w:rFonts w:hint="eastAsia" w:ascii="华文新魏" w:hAnsi="宋体" w:eastAsia="华文新魏" w:cs="宋体"/>
          <w:kern w:val="0"/>
          <w:sz w:val="48"/>
          <w:szCs w:val="48"/>
          <w:bdr w:val="wave" w:color="auto" w:sz="6" w:space="0"/>
        </w:rPr>
      </w:pPr>
    </w:p>
    <w:p w14:paraId="3DAD5086">
      <w:pPr>
        <w:ind w:right="25" w:rightChars="12"/>
        <w:rPr>
          <w:rFonts w:hint="eastAsia" w:ascii="华文新魏" w:hAnsi="宋体" w:eastAsia="华文新魏" w:cs="宋体"/>
          <w:kern w:val="0"/>
          <w:sz w:val="48"/>
          <w:szCs w:val="48"/>
          <w:bdr w:val="wave" w:color="auto" w:sz="6" w:space="0"/>
        </w:rPr>
      </w:pPr>
    </w:p>
    <w:p w14:paraId="3571EA72">
      <w:pPr>
        <w:keepNext w:val="0"/>
        <w:keepLines w:val="0"/>
        <w:pageBreakBefore w:val="0"/>
        <w:widowControl w:val="0"/>
        <w:kinsoku/>
        <w:wordWrap/>
        <w:overflowPunct/>
        <w:topLinePunct w:val="0"/>
        <w:autoSpaceDE/>
        <w:autoSpaceDN/>
        <w:bidi w:val="0"/>
        <w:snapToGrid/>
        <w:spacing w:line="240" w:lineRule="auto"/>
        <w:ind w:left="0" w:leftChars="0" w:firstLine="0" w:firstLineChars="0"/>
        <w:textAlignment w:val="auto"/>
        <w:rPr>
          <w:rFonts w:hint="eastAsia" w:ascii="华文新魏" w:hAnsi="宋体" w:eastAsia="华文新魏" w:cs="宋体"/>
          <w:kern w:val="0"/>
          <w:sz w:val="48"/>
          <w:szCs w:val="48"/>
          <w:bdr w:val="wave" w:color="auto" w:sz="6" w:space="0"/>
        </w:rPr>
        <w:sectPr>
          <w:pgSz w:w="11906" w:h="16838"/>
          <w:pgMar w:top="1814" w:right="1531" w:bottom="1984" w:left="1531" w:header="851" w:footer="992" w:gutter="0"/>
          <w:cols w:space="425" w:num="1"/>
          <w:docGrid w:type="lines" w:linePitch="312" w:charSpace="0"/>
        </w:sectPr>
      </w:pPr>
    </w:p>
    <w:p w14:paraId="3DA9946D">
      <w:pPr>
        <w:keepNext w:val="0"/>
        <w:keepLines w:val="0"/>
        <w:pageBreakBefore w:val="0"/>
        <w:widowControl w:val="0"/>
        <w:kinsoku/>
        <w:wordWrap/>
        <w:overflowPunct/>
        <w:topLinePunct w:val="0"/>
        <w:autoSpaceDE/>
        <w:autoSpaceDN/>
        <w:bidi w:val="0"/>
        <w:snapToGrid/>
        <w:spacing w:line="240" w:lineRule="auto"/>
        <w:ind w:left="0" w:leftChars="0" w:firstLine="0" w:firstLineChars="0"/>
        <w:textAlignment w:val="auto"/>
        <w:rPr>
          <w:rFonts w:hint="eastAsia" w:ascii="华文新魏" w:hAnsi="宋体" w:eastAsia="华文新魏" w:cs="宋体"/>
          <w:kern w:val="0"/>
          <w:sz w:val="48"/>
          <w:szCs w:val="48"/>
          <w:bdr w:val="wave" w:color="auto" w:sz="6" w:space="0"/>
        </w:rPr>
      </w:pPr>
      <w:r>
        <w:rPr>
          <w:rFonts w:hint="eastAsia" w:ascii="华文新魏" w:hAnsi="宋体" w:eastAsia="华文新魏" w:cs="宋体"/>
          <w:kern w:val="0"/>
          <w:sz w:val="48"/>
          <w:szCs w:val="48"/>
          <w:bdr w:val="wave" w:color="auto" w:sz="6" w:space="0"/>
        </w:rPr>
        <w:t>文件选登</w:t>
      </w:r>
    </w:p>
    <w:p w14:paraId="03215704">
      <w:pPr>
        <w:keepNext w:val="0"/>
        <w:keepLines w:val="0"/>
        <w:pageBreakBefore w:val="0"/>
        <w:kinsoku/>
        <w:topLinePunct w:val="0"/>
        <w:bidi w:val="0"/>
        <w:spacing w:line="440" w:lineRule="exact"/>
        <w:ind w:firstLine="210" w:firstLineChars="100"/>
        <w:rPr>
          <w:rFonts w:hint="eastAsia" w:ascii="仿宋_GB2312" w:hAnsi="仿宋_GB2312" w:eastAsia="仿宋_GB2312" w:cs="仿宋_GB2312"/>
          <w:sz w:val="24"/>
          <w:szCs w:val="24"/>
        </w:rPr>
      </w:pPr>
      <w:r>
        <w:rPr>
          <w:rFonts w:hint="eastAsia" w:ascii="黑体" w:hAnsi="黑体" w:eastAsia="黑体" w:cs="宋体"/>
        </w:rPr>
        <w:t>以正式发文为准</w:t>
      </w:r>
    </w:p>
    <w:p w14:paraId="7F5BE09A">
      <w:pPr>
        <w:keepNext w:val="0"/>
        <w:keepLines w:val="0"/>
        <w:pageBreakBefore w:val="0"/>
        <w:widowControl w:val="0"/>
        <w:kinsoku/>
        <w:wordWrap/>
        <w:overflowPunct w:val="0"/>
        <w:topLinePunct w:val="0"/>
        <w:autoSpaceDE/>
        <w:autoSpaceDN/>
        <w:bidi w:val="0"/>
        <w:adjustRightInd/>
        <w:snapToGrid/>
        <w:spacing w:line="400" w:lineRule="exact"/>
        <w:ind w:right="0" w:rightChars="0"/>
        <w:jc w:val="center"/>
        <w:textAlignment w:val="auto"/>
        <w:rPr>
          <w:rFonts w:hint="eastAsia" w:ascii="方正小标宋_GBK" w:hAnsi="方正小标宋_GBK" w:eastAsia="方正小标宋_GBK" w:cs="方正小标宋_GBK"/>
          <w:sz w:val="32"/>
          <w:szCs w:val="32"/>
        </w:rPr>
      </w:pPr>
    </w:p>
    <w:p w14:paraId="746F34F7">
      <w:pPr>
        <w:pStyle w:val="13"/>
        <w:keepNext w:val="0"/>
        <w:keepLines w:val="0"/>
        <w:pageBreakBefore w:val="0"/>
        <w:widowControl w:val="0"/>
        <w:kinsoku/>
        <w:wordWrap/>
        <w:overflowPunct w:val="0"/>
        <w:topLinePunct w:val="0"/>
        <w:autoSpaceDE/>
        <w:autoSpaceDN/>
        <w:bidi w:val="0"/>
        <w:adjustRightInd/>
        <w:snapToGrid/>
        <w:spacing w:afterAutospacing="0" w:line="400" w:lineRule="exact"/>
        <w:ind w:right="0" w:rightChars="0"/>
        <w:jc w:val="center"/>
        <w:textAlignment w:val="auto"/>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区政府关于印发</w:t>
      </w:r>
      <w:r>
        <w:rPr>
          <w:rFonts w:hint="eastAsia" w:ascii="方正小标宋_GBK" w:hAnsi="方正小标宋_GBK" w:eastAsia="方正小标宋_GBK" w:cs="方正小标宋_GBK"/>
          <w:sz w:val="32"/>
          <w:szCs w:val="32"/>
          <w:lang w:eastAsia="zh-CN"/>
        </w:rPr>
        <w:t>《</w:t>
      </w:r>
      <w:r>
        <w:rPr>
          <w:rFonts w:hint="eastAsia" w:ascii="方正小标宋_GBK" w:hAnsi="方正小标宋_GBK" w:eastAsia="方正小标宋_GBK" w:cs="方正小标宋_GBK"/>
          <w:sz w:val="32"/>
          <w:szCs w:val="32"/>
        </w:rPr>
        <w:t>南通市海门区国民经济和社会发展第十</w:t>
      </w:r>
      <w:r>
        <w:rPr>
          <w:rFonts w:hint="eastAsia" w:ascii="方正小标宋_GBK" w:hAnsi="方正小标宋_GBK" w:eastAsia="方正小标宋_GBK" w:cs="方正小标宋_GBK"/>
          <w:sz w:val="32"/>
          <w:szCs w:val="32"/>
          <w:lang w:eastAsia="zh-CN"/>
        </w:rPr>
        <w:t>五</w:t>
      </w:r>
      <w:r>
        <w:rPr>
          <w:rFonts w:hint="eastAsia" w:ascii="方正小标宋_GBK" w:hAnsi="方正小标宋_GBK" w:eastAsia="方正小标宋_GBK" w:cs="方正小标宋_GBK"/>
          <w:sz w:val="32"/>
          <w:szCs w:val="32"/>
        </w:rPr>
        <w:t>个五年规划纲要</w:t>
      </w:r>
      <w:r>
        <w:rPr>
          <w:rFonts w:hint="eastAsia" w:ascii="方正小标宋_GBK" w:hAnsi="方正小标宋_GBK" w:eastAsia="方正小标宋_GBK" w:cs="方正小标宋_GBK"/>
          <w:sz w:val="32"/>
          <w:szCs w:val="32"/>
          <w:lang w:eastAsia="zh-CN"/>
        </w:rPr>
        <w:t>》</w:t>
      </w:r>
      <w:r>
        <w:rPr>
          <w:rFonts w:hint="eastAsia" w:ascii="方正小标宋_GBK" w:hAnsi="方正小标宋_GBK" w:eastAsia="方正小标宋_GBK" w:cs="方正小标宋_GBK"/>
          <w:sz w:val="32"/>
          <w:szCs w:val="32"/>
        </w:rPr>
        <w:t>的通知</w:t>
      </w:r>
    </w:p>
    <w:p w14:paraId="2C4C769B">
      <w:pPr>
        <w:keepNext w:val="0"/>
        <w:keepLines w:val="0"/>
        <w:pageBreakBefore w:val="0"/>
        <w:widowControl w:val="0"/>
        <w:kinsoku/>
        <w:wordWrap/>
        <w:overflowPunct w:val="0"/>
        <w:topLinePunct w:val="0"/>
        <w:autoSpaceDE/>
        <w:autoSpaceDN/>
        <w:bidi w:val="0"/>
        <w:adjustRightInd/>
        <w:snapToGrid/>
        <w:spacing w:afterAutospacing="0" w:line="400" w:lineRule="exact"/>
        <w:ind w:left="0" w:leftChars="0" w:right="0" w:rightChars="0" w:firstLine="560" w:firstLineChars="200"/>
        <w:jc w:val="center"/>
        <w:textAlignment w:val="auto"/>
        <w:rPr>
          <w:rFonts w:hint="eastAsia" w:ascii="仿宋_GB2312" w:hAnsi="仿宋_GB2312" w:eastAsia="仿宋_GB2312" w:cs="仿宋_GB2312"/>
          <w:sz w:val="28"/>
          <w:szCs w:val="28"/>
        </w:rPr>
      </w:pPr>
    </w:p>
    <w:p w14:paraId="6BB68667">
      <w:pPr>
        <w:keepNext w:val="0"/>
        <w:keepLines w:val="0"/>
        <w:pageBreakBefore w:val="0"/>
        <w:widowControl w:val="0"/>
        <w:kinsoku/>
        <w:wordWrap/>
        <w:overflowPunct w:val="0"/>
        <w:topLinePunct w:val="0"/>
        <w:autoSpaceDE/>
        <w:autoSpaceDN/>
        <w:bidi w:val="0"/>
        <w:adjustRightInd/>
        <w:snapToGrid/>
        <w:spacing w:afterAutospacing="0" w:line="400" w:lineRule="exact"/>
        <w:ind w:right="0" w:rightChars="0"/>
        <w:jc w:val="center"/>
        <w:textAlignment w:val="auto"/>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海政发〔</w:t>
      </w:r>
      <w:r>
        <w:rPr>
          <w:rFonts w:hint="eastAsia" w:ascii="楷体_GB2312" w:hAnsi="楷体_GB2312" w:eastAsia="楷体_GB2312" w:cs="楷体_GB2312"/>
          <w:sz w:val="28"/>
          <w:szCs w:val="28"/>
          <w:lang w:val="en-US" w:eastAsia="zh-CN"/>
        </w:rPr>
        <w:t>2026</w:t>
      </w:r>
      <w:r>
        <w:rPr>
          <w:rFonts w:hint="eastAsia" w:ascii="楷体_GB2312" w:hAnsi="楷体_GB2312" w:eastAsia="楷体_GB2312" w:cs="楷体_GB2312"/>
          <w:sz w:val="28"/>
          <w:szCs w:val="28"/>
        </w:rPr>
        <w:t>〕</w:t>
      </w:r>
      <w:r>
        <w:rPr>
          <w:rFonts w:hint="eastAsia" w:ascii="楷体_GB2312" w:hAnsi="楷体_GB2312" w:eastAsia="楷体_GB2312" w:cs="楷体_GB2312"/>
          <w:sz w:val="28"/>
          <w:szCs w:val="28"/>
          <w:lang w:val="en-US" w:eastAsia="zh-CN"/>
        </w:rPr>
        <w:t>2</w:t>
      </w:r>
      <w:r>
        <w:rPr>
          <w:rFonts w:hint="eastAsia" w:ascii="楷体_GB2312" w:hAnsi="楷体_GB2312" w:eastAsia="楷体_GB2312" w:cs="楷体_GB2312"/>
          <w:sz w:val="28"/>
          <w:szCs w:val="28"/>
        </w:rPr>
        <w:t>号</w:t>
      </w:r>
    </w:p>
    <w:p w14:paraId="0783E7E6">
      <w:pPr>
        <w:keepNext w:val="0"/>
        <w:keepLines w:val="0"/>
        <w:pageBreakBefore w:val="0"/>
        <w:widowControl w:val="0"/>
        <w:kinsoku/>
        <w:wordWrap/>
        <w:overflowPunct w:val="0"/>
        <w:topLinePunct w:val="0"/>
        <w:autoSpaceDE/>
        <w:autoSpaceDN/>
        <w:bidi w:val="0"/>
        <w:adjustRightInd/>
        <w:snapToGrid/>
        <w:spacing w:afterAutospacing="0" w:line="400" w:lineRule="exact"/>
        <w:ind w:left="0" w:leftChars="0" w:right="0" w:rightChars="0" w:firstLine="560" w:firstLineChars="200"/>
        <w:jc w:val="center"/>
        <w:textAlignment w:val="auto"/>
        <w:rPr>
          <w:rFonts w:hint="eastAsia" w:ascii="仿宋_GB2312" w:hAnsi="仿宋_GB2312" w:eastAsia="仿宋_GB2312" w:cs="仿宋_GB2312"/>
          <w:sz w:val="28"/>
          <w:szCs w:val="28"/>
        </w:rPr>
      </w:pPr>
    </w:p>
    <w:p w14:paraId="61B896F2">
      <w:pPr>
        <w:keepNext w:val="0"/>
        <w:keepLines w:val="0"/>
        <w:pageBreakBefore w:val="0"/>
        <w:widowControl w:val="0"/>
        <w:kinsoku/>
        <w:wordWrap/>
        <w:overflowPunct w:val="0"/>
        <w:topLinePunct w:val="0"/>
        <w:autoSpaceDE/>
        <w:autoSpaceDN/>
        <w:bidi w:val="0"/>
        <w:adjustRightInd/>
        <w:snapToGrid/>
        <w:spacing w:afterAutospacing="0" w:line="400" w:lineRule="exact"/>
        <w:ind w:right="0" w:right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各区镇（街道）政府（管委会、办事处），区各委办局，区各直属单位，各垂直管理部门（单位）：</w:t>
      </w:r>
    </w:p>
    <w:p w14:paraId="542FD9F6">
      <w:pPr>
        <w:keepNext w:val="0"/>
        <w:keepLines w:val="0"/>
        <w:pageBreakBefore w:val="0"/>
        <w:widowControl w:val="0"/>
        <w:kinsoku/>
        <w:wordWrap/>
        <w:overflowPunct w:val="0"/>
        <w:topLinePunct w:val="0"/>
        <w:autoSpaceDE/>
        <w:autoSpaceDN/>
        <w:bidi w:val="0"/>
        <w:adjustRightInd/>
        <w:snapToGrid/>
        <w:spacing w:afterAutospacing="0" w:line="400" w:lineRule="exact"/>
        <w:ind w:left="0" w:leftChars="0" w:right="0" w:righ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《南通市海门区国民经济和社会发展第十</w:t>
      </w:r>
      <w:r>
        <w:rPr>
          <w:rFonts w:hint="eastAsia" w:ascii="仿宋_GB2312" w:hAnsi="仿宋_GB2312" w:eastAsia="仿宋_GB2312" w:cs="仿宋_GB2312"/>
          <w:sz w:val="28"/>
          <w:szCs w:val="28"/>
          <w:lang w:eastAsia="zh-CN"/>
        </w:rPr>
        <w:t>五</w:t>
      </w:r>
      <w:r>
        <w:rPr>
          <w:rFonts w:hint="eastAsia" w:ascii="仿宋_GB2312" w:hAnsi="仿宋_GB2312" w:eastAsia="仿宋_GB2312" w:cs="仿宋_GB2312"/>
          <w:sz w:val="28"/>
          <w:szCs w:val="28"/>
        </w:rPr>
        <w:t>个五年规划纲要》已于202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日经南通市海门区第十</w:t>
      </w:r>
      <w:r>
        <w:rPr>
          <w:rFonts w:hint="eastAsia" w:ascii="仿宋_GB2312" w:hAnsi="仿宋_GB2312" w:eastAsia="仿宋_GB2312" w:cs="仿宋_GB2312"/>
          <w:sz w:val="28"/>
          <w:szCs w:val="28"/>
          <w:lang w:eastAsia="zh-CN"/>
        </w:rPr>
        <w:t>八</w:t>
      </w:r>
      <w:r>
        <w:rPr>
          <w:rFonts w:hint="eastAsia" w:ascii="仿宋_GB2312" w:hAnsi="仿宋_GB2312" w:eastAsia="仿宋_GB2312" w:cs="仿宋_GB2312"/>
          <w:sz w:val="28"/>
          <w:szCs w:val="28"/>
        </w:rPr>
        <w:t>届人民代表大会第</w:t>
      </w:r>
      <w:r>
        <w:rPr>
          <w:rFonts w:hint="eastAsia" w:ascii="仿宋_GB2312" w:hAnsi="仿宋_GB2312" w:eastAsia="仿宋_GB2312" w:cs="仿宋_GB2312"/>
          <w:sz w:val="28"/>
          <w:szCs w:val="28"/>
          <w:lang w:eastAsia="zh-CN"/>
        </w:rPr>
        <w:t>六</w:t>
      </w:r>
      <w:r>
        <w:rPr>
          <w:rFonts w:hint="eastAsia" w:ascii="仿宋_GB2312" w:hAnsi="仿宋_GB2312" w:eastAsia="仿宋_GB2312" w:cs="仿宋_GB2312"/>
          <w:sz w:val="28"/>
          <w:szCs w:val="28"/>
        </w:rPr>
        <w:t>次会议批准，现印发给你们，请认真组织实施。</w:t>
      </w:r>
    </w:p>
    <w:p w14:paraId="724C8FA4">
      <w:pPr>
        <w:keepNext w:val="0"/>
        <w:keepLines w:val="0"/>
        <w:pageBreakBefore w:val="0"/>
        <w:widowControl w:val="0"/>
        <w:kinsoku/>
        <w:wordWrap/>
        <w:overflowPunct w:val="0"/>
        <w:topLinePunct w:val="0"/>
        <w:autoSpaceDE/>
        <w:autoSpaceDN/>
        <w:bidi w:val="0"/>
        <w:adjustRightInd/>
        <w:snapToGrid/>
        <w:spacing w:afterAutospacing="0" w:line="400" w:lineRule="exact"/>
        <w:ind w:left="0" w:leftChars="0" w:right="0" w:rightChars="0" w:firstLine="560" w:firstLineChars="200"/>
        <w:jc w:val="left"/>
        <w:textAlignment w:val="auto"/>
        <w:rPr>
          <w:rFonts w:hint="eastAsia" w:ascii="仿宋_GB2312" w:hAnsi="仿宋_GB2312" w:eastAsia="仿宋_GB2312" w:cs="仿宋_GB2312"/>
          <w:sz w:val="28"/>
          <w:szCs w:val="28"/>
        </w:rPr>
      </w:pPr>
    </w:p>
    <w:p w14:paraId="18B0AABA">
      <w:pPr>
        <w:keepNext w:val="0"/>
        <w:keepLines w:val="0"/>
        <w:pageBreakBefore w:val="0"/>
        <w:widowControl w:val="0"/>
        <w:kinsoku/>
        <w:wordWrap/>
        <w:overflowPunct w:val="0"/>
        <w:topLinePunct w:val="0"/>
        <w:autoSpaceDE/>
        <w:autoSpaceDN/>
        <w:bidi w:val="0"/>
        <w:adjustRightInd/>
        <w:snapToGrid/>
        <w:spacing w:afterAutospacing="0" w:line="400" w:lineRule="exact"/>
        <w:ind w:left="0" w:leftChars="0" w:right="0" w:righ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附件：《南通市海门区国民经济和社会发展第十五个五年规划纲要》</w:t>
      </w:r>
    </w:p>
    <w:p w14:paraId="0DEBF439">
      <w:pPr>
        <w:keepNext w:val="0"/>
        <w:keepLines w:val="0"/>
        <w:pageBreakBefore w:val="0"/>
        <w:widowControl w:val="0"/>
        <w:kinsoku/>
        <w:wordWrap/>
        <w:overflowPunct w:val="0"/>
        <w:topLinePunct w:val="0"/>
        <w:autoSpaceDE/>
        <w:autoSpaceDN/>
        <w:bidi w:val="0"/>
        <w:adjustRightInd/>
        <w:snapToGrid/>
        <w:spacing w:afterAutospacing="0" w:line="400" w:lineRule="exact"/>
        <w:ind w:left="0" w:leftChars="0" w:right="0" w:rightChars="0" w:firstLine="560" w:firstLineChars="200"/>
        <w:jc w:val="right"/>
        <w:textAlignment w:val="auto"/>
        <w:rPr>
          <w:rFonts w:hint="eastAsia" w:ascii="仿宋_GB2312" w:hAnsi="仿宋_GB2312" w:eastAsia="仿宋_GB2312" w:cs="仿宋_GB2312"/>
          <w:sz w:val="28"/>
          <w:szCs w:val="28"/>
        </w:rPr>
      </w:pPr>
    </w:p>
    <w:p w14:paraId="172EE18E">
      <w:pPr>
        <w:keepNext w:val="0"/>
        <w:keepLines w:val="0"/>
        <w:pageBreakBefore w:val="0"/>
        <w:widowControl w:val="0"/>
        <w:kinsoku/>
        <w:wordWrap/>
        <w:overflowPunct w:val="0"/>
        <w:topLinePunct w:val="0"/>
        <w:autoSpaceDE/>
        <w:autoSpaceDN/>
        <w:bidi w:val="0"/>
        <w:adjustRightInd/>
        <w:snapToGrid/>
        <w:spacing w:afterAutospacing="0" w:line="400" w:lineRule="exact"/>
        <w:ind w:left="0" w:leftChars="0" w:right="0" w:rightChars="0" w:firstLine="560" w:firstLineChars="200"/>
        <w:jc w:val="right"/>
        <w:textAlignment w:val="auto"/>
        <w:rPr>
          <w:rFonts w:hint="eastAsia" w:ascii="仿宋_GB2312" w:hAnsi="仿宋_GB2312" w:eastAsia="仿宋_GB2312" w:cs="仿宋_GB2312"/>
          <w:sz w:val="28"/>
          <w:szCs w:val="28"/>
        </w:rPr>
      </w:pPr>
    </w:p>
    <w:p w14:paraId="5532BC0A">
      <w:pPr>
        <w:keepNext w:val="0"/>
        <w:keepLines w:val="0"/>
        <w:pageBreakBefore w:val="0"/>
        <w:widowControl w:val="0"/>
        <w:kinsoku/>
        <w:wordWrap/>
        <w:overflowPunct w:val="0"/>
        <w:topLinePunct w:val="0"/>
        <w:autoSpaceDE/>
        <w:autoSpaceDN/>
        <w:bidi w:val="0"/>
        <w:adjustRightInd/>
        <w:snapToGrid/>
        <w:spacing w:afterAutospacing="0" w:line="400" w:lineRule="exact"/>
        <w:ind w:right="0" w:rightChars="0"/>
        <w:jc w:val="righ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南通市海门区人民政府</w:t>
      </w:r>
    </w:p>
    <w:p w14:paraId="49012CB4">
      <w:pPr>
        <w:keepNext w:val="0"/>
        <w:keepLines w:val="0"/>
        <w:pageBreakBefore w:val="0"/>
        <w:widowControl w:val="0"/>
        <w:kinsoku/>
        <w:wordWrap/>
        <w:overflowPunct w:val="0"/>
        <w:topLinePunct w:val="0"/>
        <w:autoSpaceDE/>
        <w:autoSpaceDN/>
        <w:bidi w:val="0"/>
        <w:adjustRightInd/>
        <w:snapToGrid/>
        <w:spacing w:afterAutospacing="0" w:line="400" w:lineRule="exact"/>
        <w:ind w:right="0" w:rightChars="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日</w:t>
      </w:r>
    </w:p>
    <w:p w14:paraId="5F7E3888">
      <w:pPr>
        <w:keepNext w:val="0"/>
        <w:keepLines w:val="0"/>
        <w:pageBreakBefore w:val="0"/>
        <w:widowControl w:val="0"/>
        <w:kinsoku/>
        <w:wordWrap/>
        <w:overflowPunct w:val="0"/>
        <w:topLinePunct w:val="0"/>
        <w:autoSpaceDE/>
        <w:autoSpaceDN/>
        <w:bidi w:val="0"/>
        <w:adjustRightInd/>
        <w:snapToGrid/>
        <w:spacing w:afterAutospacing="0" w:line="400" w:lineRule="exact"/>
        <w:ind w:left="0" w:leftChars="0" w:right="0" w:rightChars="0" w:firstLine="560" w:firstLineChars="200"/>
        <w:jc w:val="center"/>
        <w:textAlignment w:val="auto"/>
        <w:rPr>
          <w:rFonts w:hint="eastAsia" w:ascii="仿宋_GB2312" w:hAnsi="仿宋_GB2312" w:eastAsia="仿宋_GB2312" w:cs="仿宋_GB2312"/>
          <w:sz w:val="28"/>
          <w:szCs w:val="28"/>
        </w:rPr>
      </w:pPr>
    </w:p>
    <w:p w14:paraId="04C6FA03">
      <w:pPr>
        <w:keepNext w:val="0"/>
        <w:keepLines w:val="0"/>
        <w:pageBreakBefore w:val="0"/>
        <w:widowControl w:val="0"/>
        <w:kinsoku/>
        <w:wordWrap/>
        <w:topLinePunct w:val="0"/>
        <w:bidi w:val="0"/>
        <w:spacing w:line="400" w:lineRule="exact"/>
        <w:ind w:right="0" w:rightChars="0"/>
        <w:jc w:val="center"/>
        <w:textAlignment w:val="auto"/>
        <w:rPr>
          <w:rFonts w:hint="eastAsia" w:ascii="方正小标宋_GBK" w:hAnsi="方正小标宋_GBK" w:eastAsia="方正小标宋_GBK" w:cs="方正小标宋_GBK"/>
          <w:kern w:val="2"/>
          <w:sz w:val="32"/>
          <w:szCs w:val="32"/>
          <w:lang w:val="en-US" w:eastAsia="zh-CN" w:bidi="ar-SA"/>
        </w:rPr>
      </w:pPr>
    </w:p>
    <w:p w14:paraId="2D285125">
      <w:pPr>
        <w:keepNext w:val="0"/>
        <w:keepLines w:val="0"/>
        <w:pageBreakBefore w:val="0"/>
        <w:widowControl w:val="0"/>
        <w:kinsoku/>
        <w:wordWrap/>
        <w:topLinePunct w:val="0"/>
        <w:bidi w:val="0"/>
        <w:spacing w:line="400" w:lineRule="exact"/>
        <w:ind w:right="0" w:rightChars="0"/>
        <w:jc w:val="center"/>
        <w:textAlignment w:val="auto"/>
        <w:rPr>
          <w:rFonts w:hint="eastAsia" w:ascii="仿宋_GB2312" w:hAnsi="仿宋_GB2312" w:eastAsia="仿宋_GB2312" w:cs="仿宋_GB2312"/>
          <w:color w:val="000000"/>
          <w:sz w:val="28"/>
          <w:szCs w:val="28"/>
        </w:rPr>
      </w:pPr>
      <w:r>
        <w:rPr>
          <w:rFonts w:hint="eastAsia" w:ascii="方正小标宋_GBK" w:hAnsi="方正小标宋_GBK" w:eastAsia="方正小标宋_GBK" w:cs="方正小标宋_GBK"/>
          <w:kern w:val="2"/>
          <w:sz w:val="32"/>
          <w:szCs w:val="32"/>
          <w:lang w:val="en-US" w:eastAsia="zh-CN" w:bidi="ar-SA"/>
        </w:rPr>
        <w:t>关于明确区政府部分领导同志工作分工的通知</w:t>
      </w:r>
    </w:p>
    <w:p w14:paraId="6BF17B39">
      <w:pPr>
        <w:keepNext w:val="0"/>
        <w:keepLines w:val="0"/>
        <w:pageBreakBefore w:val="0"/>
        <w:widowControl w:val="0"/>
        <w:tabs>
          <w:tab w:val="left" w:pos="2205"/>
          <w:tab w:val="center" w:pos="4422"/>
          <w:tab w:val="left" w:pos="8364"/>
        </w:tabs>
        <w:kinsoku/>
        <w:wordWrap/>
        <w:topLinePunct w:val="0"/>
        <w:bidi w:val="0"/>
        <w:spacing w:line="400" w:lineRule="exact"/>
        <w:ind w:right="0" w:rightChars="0"/>
        <w:jc w:val="left"/>
        <w:textAlignment w:val="auto"/>
        <w:rPr>
          <w:rFonts w:hint="eastAsia" w:ascii="仿宋_GB2312" w:hAnsi="仿宋_GB2312" w:eastAsia="仿宋_GB2312" w:cs="仿宋_GB2312"/>
          <w:sz w:val="28"/>
          <w:szCs w:val="28"/>
        </w:rPr>
      </w:pPr>
    </w:p>
    <w:p w14:paraId="2CF71A1A">
      <w:pPr>
        <w:keepNext w:val="0"/>
        <w:keepLines w:val="0"/>
        <w:pageBreakBefore w:val="0"/>
        <w:widowControl w:val="0"/>
        <w:kinsoku/>
        <w:wordWrap/>
        <w:overflowPunct w:val="0"/>
        <w:topLinePunct w:val="0"/>
        <w:autoSpaceDE/>
        <w:autoSpaceDN/>
        <w:bidi w:val="0"/>
        <w:adjustRightInd/>
        <w:snapToGrid/>
        <w:spacing w:afterAutospacing="0" w:line="400" w:lineRule="exact"/>
        <w:ind w:right="0" w:rightChars="0"/>
        <w:jc w:val="center"/>
        <w:textAlignment w:val="auto"/>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海政发〔2026〕4号</w:t>
      </w:r>
    </w:p>
    <w:p w14:paraId="072B7535">
      <w:pPr>
        <w:keepNext w:val="0"/>
        <w:keepLines w:val="0"/>
        <w:pageBreakBefore w:val="0"/>
        <w:widowControl w:val="0"/>
        <w:kinsoku/>
        <w:wordWrap/>
        <w:topLinePunct w:val="0"/>
        <w:bidi w:val="0"/>
        <w:spacing w:line="400" w:lineRule="exact"/>
        <w:ind w:left="0" w:leftChars="0" w:right="0" w:rightChars="0" w:firstLine="560" w:firstLineChars="200"/>
        <w:jc w:val="center"/>
        <w:textAlignment w:val="auto"/>
        <w:rPr>
          <w:rFonts w:hint="eastAsia" w:ascii="仿宋_GB2312" w:hAnsi="仿宋_GB2312" w:eastAsia="仿宋_GB2312" w:cs="仿宋_GB2312"/>
          <w:color w:val="000000"/>
          <w:sz w:val="28"/>
          <w:szCs w:val="28"/>
        </w:rPr>
      </w:pPr>
    </w:p>
    <w:p w14:paraId="1663D0B3">
      <w:pPr>
        <w:keepNext w:val="0"/>
        <w:keepLines w:val="0"/>
        <w:pageBreakBefore w:val="0"/>
        <w:widowControl w:val="0"/>
        <w:kinsoku/>
        <w:wordWrap/>
        <w:topLinePunct w:val="0"/>
        <w:bidi w:val="0"/>
        <w:adjustRightInd w:val="0"/>
        <w:snapToGrid w:val="0"/>
        <w:spacing w:line="400" w:lineRule="exact"/>
        <w:ind w:right="0" w:rightChars="0"/>
        <w:textAlignment w:val="auto"/>
        <w:rPr>
          <w:rFonts w:hint="eastAsia" w:ascii="仿宋_GB2312" w:hAnsi="仿宋_GB2312" w:eastAsia="仿宋_GB2312" w:cs="仿宋_GB2312"/>
          <w:color w:val="000000"/>
          <w:spacing w:val="-11"/>
          <w:sz w:val="28"/>
          <w:szCs w:val="28"/>
        </w:rPr>
      </w:pPr>
      <w:r>
        <w:rPr>
          <w:rFonts w:hint="eastAsia" w:ascii="仿宋_GB2312" w:hAnsi="仿宋_GB2312" w:eastAsia="仿宋_GB2312" w:cs="仿宋_GB2312"/>
          <w:color w:val="000000"/>
          <w:spacing w:val="-11"/>
          <w:sz w:val="28"/>
          <w:szCs w:val="28"/>
        </w:rPr>
        <w:t>各区镇（街道）政府（管委会、办事处），区各委办局，区各直属单位，各垂直管理部门（单位）:</w:t>
      </w:r>
    </w:p>
    <w:p w14:paraId="20D5BD61">
      <w:pPr>
        <w:keepNext w:val="0"/>
        <w:keepLines w:val="0"/>
        <w:pageBreakBefore w:val="0"/>
        <w:widowControl w:val="0"/>
        <w:kinsoku/>
        <w:wordWrap/>
        <w:topLinePunct w:val="0"/>
        <w:bidi w:val="0"/>
        <w:snapToGrid w:val="0"/>
        <w:spacing w:line="400" w:lineRule="exact"/>
        <w:ind w:left="0" w:leftChars="0" w:right="0" w:rightChars="0" w:firstLine="516" w:firstLineChars="200"/>
        <w:textAlignment w:val="auto"/>
        <w:rPr>
          <w:rFonts w:hint="eastAsia" w:ascii="仿宋_GB2312" w:hAnsi="仿宋_GB2312" w:eastAsia="仿宋_GB2312" w:cs="仿宋_GB2312"/>
          <w:color w:val="000000"/>
          <w:spacing w:val="-11"/>
          <w:sz w:val="28"/>
          <w:szCs w:val="28"/>
        </w:rPr>
      </w:pPr>
      <w:r>
        <w:rPr>
          <w:rFonts w:hint="eastAsia" w:ascii="仿宋_GB2312" w:hAnsi="仿宋_GB2312" w:eastAsia="仿宋_GB2312" w:cs="仿宋_GB2312"/>
          <w:color w:val="000000"/>
          <w:spacing w:val="-11"/>
          <w:sz w:val="28"/>
          <w:szCs w:val="28"/>
        </w:rPr>
        <w:t>因人事变动和工作需要，经研究，现就区政府部分领导同志工作分工调整情况通知如下：</w:t>
      </w:r>
    </w:p>
    <w:p w14:paraId="133C54C9">
      <w:pPr>
        <w:keepNext w:val="0"/>
        <w:keepLines w:val="0"/>
        <w:pageBreakBefore w:val="0"/>
        <w:widowControl w:val="0"/>
        <w:kinsoku/>
        <w:wordWrap/>
        <w:topLinePunct w:val="0"/>
        <w:bidi w:val="0"/>
        <w:adjustRightInd w:val="0"/>
        <w:snapToGrid w:val="0"/>
        <w:spacing w:line="40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贲  驰：负责南通市公安局海门分局工作。负责司法行政、信访、社会治理等工作。协助负责人民武装、消防救援、处置和打击非法集资等工作。</w:t>
      </w:r>
    </w:p>
    <w:p w14:paraId="278F95FC">
      <w:pPr>
        <w:keepNext w:val="0"/>
        <w:keepLines w:val="0"/>
        <w:pageBreakBefore w:val="0"/>
        <w:widowControl w:val="0"/>
        <w:kinsoku/>
        <w:wordWrap/>
        <w:topLinePunct w:val="0"/>
        <w:bidi w:val="0"/>
        <w:adjustRightInd w:val="0"/>
        <w:snapToGrid w:val="0"/>
        <w:spacing w:line="400" w:lineRule="exact"/>
        <w:ind w:left="0" w:leftChars="0" w:right="0" w:righ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分管区司法局、信访局。协助联系区人武部、驻海部队、消防救援大队。联系三星镇。</w:t>
      </w:r>
    </w:p>
    <w:p w14:paraId="4A1A39C6">
      <w:pPr>
        <w:keepNext w:val="0"/>
        <w:keepLines w:val="0"/>
        <w:pageBreakBefore w:val="0"/>
        <w:widowControl w:val="0"/>
        <w:kinsoku/>
        <w:wordWrap/>
        <w:topLinePunct w:val="0"/>
        <w:bidi w:val="0"/>
        <w:adjustRightInd w:val="0"/>
        <w:snapToGrid w:val="0"/>
        <w:spacing w:line="400" w:lineRule="exact"/>
        <w:ind w:left="0" w:leftChars="0" w:right="0" w:rightChars="0" w:firstLine="516" w:firstLineChars="200"/>
        <w:textAlignment w:val="auto"/>
        <w:rPr>
          <w:rFonts w:hint="eastAsia" w:ascii="仿宋_GB2312" w:hAnsi="仿宋_GB2312" w:eastAsia="仿宋_GB2312" w:cs="仿宋_GB2312"/>
          <w:color w:val="000000"/>
          <w:spacing w:val="-11"/>
          <w:sz w:val="28"/>
          <w:szCs w:val="28"/>
        </w:rPr>
      </w:pPr>
      <w:r>
        <w:rPr>
          <w:rFonts w:hint="eastAsia" w:ascii="仿宋_GB2312" w:hAnsi="仿宋_GB2312" w:eastAsia="仿宋_GB2312" w:cs="仿宋_GB2312"/>
          <w:color w:val="000000"/>
          <w:spacing w:val="-11"/>
          <w:sz w:val="28"/>
          <w:szCs w:val="28"/>
        </w:rPr>
        <w:t>其他分工不变。</w:t>
      </w:r>
    </w:p>
    <w:p w14:paraId="28497C50">
      <w:pPr>
        <w:keepNext w:val="0"/>
        <w:keepLines w:val="0"/>
        <w:pageBreakBefore w:val="0"/>
        <w:widowControl w:val="0"/>
        <w:kinsoku/>
        <w:wordWrap/>
        <w:topLinePunct w:val="0"/>
        <w:bidi w:val="0"/>
        <w:spacing w:line="400" w:lineRule="exact"/>
        <w:ind w:right="0" w:rightChars="0"/>
        <w:textAlignment w:val="auto"/>
        <w:rPr>
          <w:rFonts w:hint="eastAsia" w:ascii="仿宋_GB2312" w:hAnsi="仿宋_GB2312" w:eastAsia="仿宋_GB2312" w:cs="仿宋_GB2312"/>
          <w:color w:val="000000"/>
          <w:spacing w:val="-11"/>
          <w:sz w:val="28"/>
          <w:szCs w:val="28"/>
        </w:rPr>
      </w:pPr>
    </w:p>
    <w:p w14:paraId="3A2695A8">
      <w:pPr>
        <w:keepNext w:val="0"/>
        <w:keepLines w:val="0"/>
        <w:pageBreakBefore w:val="0"/>
        <w:widowControl w:val="0"/>
        <w:kinsoku/>
        <w:wordWrap/>
        <w:topLinePunct w:val="0"/>
        <w:bidi w:val="0"/>
        <w:spacing w:line="400" w:lineRule="exact"/>
        <w:ind w:right="0" w:rightChars="0"/>
        <w:textAlignment w:val="auto"/>
        <w:rPr>
          <w:rFonts w:hint="eastAsia" w:ascii="仿宋_GB2312" w:hAnsi="仿宋_GB2312" w:eastAsia="仿宋_GB2312" w:cs="仿宋_GB2312"/>
          <w:color w:val="000000"/>
          <w:spacing w:val="-11"/>
          <w:sz w:val="28"/>
          <w:szCs w:val="28"/>
        </w:rPr>
      </w:pPr>
    </w:p>
    <w:p w14:paraId="08B504EA">
      <w:pPr>
        <w:keepNext w:val="0"/>
        <w:keepLines w:val="0"/>
        <w:pageBreakBefore w:val="0"/>
        <w:widowControl w:val="0"/>
        <w:kinsoku/>
        <w:wordWrap/>
        <w:topLinePunct w:val="0"/>
        <w:bidi w:val="0"/>
        <w:spacing w:line="400" w:lineRule="exact"/>
        <w:ind w:right="0" w:rightChars="0"/>
        <w:jc w:val="right"/>
        <w:textAlignment w:val="auto"/>
        <w:rPr>
          <w:rFonts w:hint="eastAsia" w:ascii="仿宋_GB2312" w:hAnsi="仿宋_GB2312" w:eastAsia="仿宋_GB2312" w:cs="仿宋_GB2312"/>
          <w:color w:val="000000"/>
          <w:spacing w:val="-11"/>
          <w:sz w:val="28"/>
          <w:szCs w:val="28"/>
        </w:rPr>
      </w:pPr>
      <w:r>
        <w:rPr>
          <w:rFonts w:hint="eastAsia" w:ascii="仿宋_GB2312" w:hAnsi="仿宋_GB2312" w:eastAsia="仿宋_GB2312" w:cs="仿宋_GB2312"/>
          <w:color w:val="000000"/>
          <w:spacing w:val="-11"/>
          <w:sz w:val="28"/>
          <w:szCs w:val="28"/>
        </w:rPr>
        <w:t>南通市海门区人民政府</w:t>
      </w:r>
    </w:p>
    <w:p w14:paraId="5F3D82FD">
      <w:pPr>
        <w:keepNext w:val="0"/>
        <w:keepLines w:val="0"/>
        <w:pageBreakBefore w:val="0"/>
        <w:widowControl w:val="0"/>
        <w:kinsoku/>
        <w:wordWrap/>
        <w:topLinePunct w:val="0"/>
        <w:bidi w:val="0"/>
        <w:adjustRightInd w:val="0"/>
        <w:spacing w:line="400" w:lineRule="exact"/>
        <w:ind w:right="0" w:rightChars="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pacing w:val="-11"/>
          <w:sz w:val="28"/>
          <w:szCs w:val="28"/>
        </w:rPr>
        <w:t>2026年3月16日</w:t>
      </w:r>
    </w:p>
    <w:p w14:paraId="1448BA17">
      <w:pPr>
        <w:pStyle w:val="17"/>
        <w:keepNext w:val="0"/>
        <w:keepLines w:val="0"/>
        <w:pageBreakBefore w:val="0"/>
        <w:widowControl w:val="0"/>
        <w:kinsoku/>
        <w:wordWrap/>
        <w:topLinePunct w:val="0"/>
        <w:bidi w:val="0"/>
        <w:snapToGrid w:val="0"/>
        <w:spacing w:line="400" w:lineRule="exact"/>
        <w:ind w:right="0" w:rightChars="0"/>
        <w:jc w:val="both"/>
        <w:textAlignment w:val="auto"/>
        <w:rPr>
          <w:rFonts w:hint="eastAsia" w:ascii="仿宋_GB2312" w:hAnsi="仿宋_GB2312" w:eastAsia="仿宋_GB2312" w:cs="仿宋_GB2312"/>
          <w:color w:val="000000"/>
          <w:sz w:val="28"/>
          <w:szCs w:val="28"/>
        </w:rPr>
      </w:pPr>
    </w:p>
    <w:p w14:paraId="7C1FAFE6">
      <w:pPr>
        <w:pStyle w:val="18"/>
        <w:keepNext w:val="0"/>
        <w:keepLines w:val="0"/>
        <w:pageBreakBefore w:val="0"/>
        <w:widowControl w:val="0"/>
        <w:kinsoku/>
        <w:wordWrap/>
        <w:topLinePunct w:val="0"/>
        <w:bidi w:val="0"/>
        <w:snapToGrid w:val="0"/>
        <w:spacing w:after="0" w:line="400" w:lineRule="exact"/>
        <w:ind w:left="0" w:leftChars="0" w:right="0" w:rightChars="0" w:firstLine="562" w:firstLineChars="200"/>
        <w:textAlignment w:val="auto"/>
        <w:rPr>
          <w:rFonts w:hint="eastAsia" w:ascii="仿宋_GB2312" w:hAnsi="仿宋_GB2312" w:eastAsia="仿宋_GB2312" w:cs="仿宋_GB2312"/>
          <w:sz w:val="28"/>
          <w:szCs w:val="28"/>
        </w:rPr>
      </w:pPr>
    </w:p>
    <w:p w14:paraId="5E4983FA">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eastAsia" w:ascii="方正小标宋_GBK" w:hAnsi="方正小标宋_GBK" w:eastAsia="方正小标宋_GBK" w:cs="方正小标宋_GBK"/>
          <w:kern w:val="2"/>
          <w:sz w:val="32"/>
          <w:szCs w:val="32"/>
          <w:lang w:val="en-US" w:eastAsia="zh-CN" w:bidi="ar-SA"/>
        </w:rPr>
      </w:pPr>
      <w:r>
        <w:rPr>
          <w:rFonts w:hint="eastAsia" w:ascii="方正小标宋_GBK" w:hAnsi="方正小标宋_GBK" w:eastAsia="方正小标宋_GBK" w:cs="方正小标宋_GBK"/>
          <w:kern w:val="2"/>
          <w:sz w:val="32"/>
          <w:szCs w:val="32"/>
          <w:lang w:val="en-US" w:eastAsia="zh-CN" w:bidi="ar-SA"/>
        </w:rPr>
        <w:t>南通市海门区人民政府关于2025年</w:t>
      </w:r>
      <w:bookmarkStart w:id="0" w:name="_Toc474227080"/>
      <w:bookmarkEnd w:id="0"/>
      <w:r>
        <w:rPr>
          <w:rFonts w:hint="eastAsia" w:ascii="方正小标宋_GBK" w:hAnsi="方正小标宋_GBK" w:eastAsia="方正小标宋_GBK" w:cs="方正小标宋_GBK"/>
          <w:kern w:val="2"/>
          <w:sz w:val="32"/>
          <w:szCs w:val="32"/>
          <w:lang w:val="en-US" w:eastAsia="zh-CN" w:bidi="ar-SA"/>
        </w:rPr>
        <w:t>度法治政府建设情况的报告</w:t>
      </w:r>
    </w:p>
    <w:p w14:paraId="660C5A10">
      <w:pPr>
        <w:keepNext w:val="0"/>
        <w:keepLines w:val="0"/>
        <w:pageBreakBefore w:val="0"/>
        <w:widowControl w:val="0"/>
        <w:kinsoku/>
        <w:wordWrap/>
        <w:overflowPunct w:val="0"/>
        <w:topLinePunct w:val="0"/>
        <w:autoSpaceDE/>
        <w:autoSpaceDN/>
        <w:bidi w:val="0"/>
        <w:adjustRightInd/>
        <w:snapToGrid/>
        <w:spacing w:afterAutospacing="0" w:line="400" w:lineRule="exact"/>
        <w:ind w:left="0" w:leftChars="0" w:right="0" w:rightChars="0" w:firstLine="560" w:firstLineChars="200"/>
        <w:jc w:val="center"/>
        <w:textAlignment w:val="auto"/>
        <w:rPr>
          <w:rFonts w:hint="eastAsia" w:ascii="楷体_GB2312" w:hAnsi="楷体_GB2312" w:eastAsia="楷体_GB2312" w:cs="楷体_GB2312"/>
          <w:sz w:val="28"/>
          <w:szCs w:val="28"/>
        </w:rPr>
      </w:pPr>
    </w:p>
    <w:p w14:paraId="712114DA">
      <w:pPr>
        <w:keepNext w:val="0"/>
        <w:keepLines w:val="0"/>
        <w:pageBreakBefore w:val="0"/>
        <w:widowControl w:val="0"/>
        <w:kinsoku/>
        <w:wordWrap/>
        <w:overflowPunct w:val="0"/>
        <w:topLinePunct w:val="0"/>
        <w:autoSpaceDE/>
        <w:autoSpaceDN/>
        <w:bidi w:val="0"/>
        <w:adjustRightInd/>
        <w:snapToGrid/>
        <w:spacing w:afterAutospacing="0" w:line="400" w:lineRule="exact"/>
        <w:ind w:right="0" w:rightChars="0"/>
        <w:jc w:val="center"/>
        <w:textAlignment w:val="auto"/>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海政发〔</w:t>
      </w:r>
      <w:r>
        <w:rPr>
          <w:rFonts w:hint="eastAsia" w:ascii="楷体_GB2312" w:hAnsi="楷体_GB2312" w:eastAsia="楷体_GB2312" w:cs="楷体_GB2312"/>
          <w:sz w:val="28"/>
          <w:szCs w:val="28"/>
          <w:lang w:val="en-US" w:eastAsia="zh-CN"/>
        </w:rPr>
        <w:t>2026</w:t>
      </w:r>
      <w:r>
        <w:rPr>
          <w:rFonts w:hint="eastAsia" w:ascii="楷体_GB2312" w:hAnsi="楷体_GB2312" w:eastAsia="楷体_GB2312" w:cs="楷体_GB2312"/>
          <w:sz w:val="28"/>
          <w:szCs w:val="28"/>
        </w:rPr>
        <w:t>〕</w:t>
      </w:r>
      <w:r>
        <w:rPr>
          <w:rFonts w:hint="eastAsia" w:ascii="楷体_GB2312" w:hAnsi="楷体_GB2312" w:eastAsia="楷体_GB2312" w:cs="楷体_GB2312"/>
          <w:sz w:val="28"/>
          <w:szCs w:val="28"/>
          <w:lang w:val="en-US" w:eastAsia="zh-CN"/>
        </w:rPr>
        <w:t>5</w:t>
      </w:r>
      <w:r>
        <w:rPr>
          <w:rFonts w:hint="eastAsia" w:ascii="楷体_GB2312" w:hAnsi="楷体_GB2312" w:eastAsia="楷体_GB2312" w:cs="楷体_GB2312"/>
          <w:sz w:val="28"/>
          <w:szCs w:val="28"/>
        </w:rPr>
        <w:t>号</w:t>
      </w:r>
    </w:p>
    <w:p w14:paraId="73E85A46">
      <w:pPr>
        <w:keepNext w:val="0"/>
        <w:keepLines w:val="0"/>
        <w:pageBreakBefore w:val="0"/>
        <w:widowControl w:val="0"/>
        <w:kinsoku/>
        <w:wordWrap/>
        <w:topLinePunct w:val="0"/>
        <w:autoSpaceDE/>
        <w:autoSpaceDN/>
        <w:bidi w:val="0"/>
        <w:adjustRightInd w:val="0"/>
        <w:snapToGrid w:val="0"/>
        <w:spacing w:line="400" w:lineRule="exact"/>
        <w:ind w:left="0" w:leftChars="0" w:right="0" w:rightChars="0" w:firstLine="560" w:firstLineChars="200"/>
        <w:textAlignment w:val="auto"/>
        <w:rPr>
          <w:rFonts w:hint="eastAsia" w:ascii="仿宋_GB2312" w:hAnsi="仿宋_GB2312" w:eastAsia="仿宋_GB2312" w:cs="仿宋_GB2312"/>
          <w:sz w:val="28"/>
          <w:szCs w:val="28"/>
        </w:rPr>
      </w:pPr>
    </w:p>
    <w:p w14:paraId="1488D805">
      <w:pPr>
        <w:keepNext w:val="0"/>
        <w:keepLines w:val="0"/>
        <w:pageBreakBefore w:val="0"/>
        <w:widowControl w:val="0"/>
        <w:kinsoku/>
        <w:wordWrap/>
        <w:overflowPunct/>
        <w:topLinePunct w:val="0"/>
        <w:autoSpaceDE/>
        <w:autoSpaceDN/>
        <w:bidi w:val="0"/>
        <w:adjustRightInd w:val="0"/>
        <w:snapToGrid w:val="0"/>
        <w:spacing w:line="400" w:lineRule="exact"/>
        <w:ind w:right="0" w:right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南通市人民政府：</w:t>
      </w:r>
    </w:p>
    <w:p w14:paraId="7065215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2025年，海门区坚持以习近平新时代中国特色社会主义思想为指导，</w:t>
      </w:r>
      <w:r>
        <w:rPr>
          <w:rFonts w:hint="eastAsia" w:ascii="仿宋_GB2312" w:hAnsi="仿宋_GB2312" w:eastAsia="仿宋_GB2312" w:cs="仿宋_GB2312"/>
          <w:color w:val="auto"/>
          <w:sz w:val="28"/>
          <w:szCs w:val="28"/>
          <w:lang w:eastAsia="zh-CN"/>
        </w:rPr>
        <w:t>全面</w:t>
      </w:r>
      <w:r>
        <w:rPr>
          <w:rFonts w:hint="eastAsia" w:ascii="仿宋_GB2312" w:hAnsi="仿宋_GB2312" w:eastAsia="仿宋_GB2312" w:cs="仿宋_GB2312"/>
          <w:color w:val="auto"/>
          <w:sz w:val="28"/>
          <w:szCs w:val="28"/>
        </w:rPr>
        <w:t>贯彻党的二十大</w:t>
      </w:r>
      <w:r>
        <w:rPr>
          <w:rFonts w:hint="eastAsia" w:ascii="仿宋_GB2312" w:hAnsi="仿宋_GB2312" w:eastAsia="仿宋_GB2312" w:cs="仿宋_GB2312"/>
          <w:color w:val="auto"/>
          <w:sz w:val="28"/>
          <w:szCs w:val="28"/>
          <w:lang w:eastAsia="zh-CN"/>
        </w:rPr>
        <w:t>和</w:t>
      </w:r>
      <w:r>
        <w:rPr>
          <w:rFonts w:hint="eastAsia" w:ascii="仿宋_GB2312" w:hAnsi="仿宋_GB2312" w:eastAsia="仿宋_GB2312" w:cs="仿宋_GB2312"/>
          <w:color w:val="auto"/>
          <w:sz w:val="28"/>
          <w:szCs w:val="28"/>
        </w:rPr>
        <w:t>二十届</w:t>
      </w:r>
      <w:r>
        <w:rPr>
          <w:rFonts w:hint="eastAsia" w:ascii="仿宋_GB2312" w:hAnsi="仿宋_GB2312" w:eastAsia="仿宋_GB2312" w:cs="仿宋_GB2312"/>
          <w:color w:val="auto"/>
          <w:sz w:val="28"/>
          <w:szCs w:val="28"/>
          <w:lang w:eastAsia="zh-CN"/>
        </w:rPr>
        <w:t>历次</w:t>
      </w:r>
      <w:r>
        <w:rPr>
          <w:rFonts w:hint="eastAsia" w:ascii="仿宋_GB2312" w:hAnsi="仿宋_GB2312" w:eastAsia="仿宋_GB2312" w:cs="仿宋_GB2312"/>
          <w:color w:val="auto"/>
          <w:sz w:val="28"/>
          <w:szCs w:val="28"/>
        </w:rPr>
        <w:t>全会精神，</w:t>
      </w:r>
      <w:r>
        <w:rPr>
          <w:rFonts w:hint="eastAsia" w:ascii="仿宋_GB2312" w:hAnsi="仿宋_GB2312" w:eastAsia="仿宋_GB2312" w:cs="仿宋_GB2312"/>
          <w:color w:val="auto"/>
          <w:sz w:val="28"/>
          <w:szCs w:val="28"/>
          <w:lang w:eastAsia="zh-CN"/>
        </w:rPr>
        <w:t>深入</w:t>
      </w:r>
      <w:r>
        <w:rPr>
          <w:rFonts w:hint="eastAsia" w:ascii="仿宋_GB2312" w:hAnsi="仿宋_GB2312" w:eastAsia="仿宋_GB2312" w:cs="仿宋_GB2312"/>
          <w:color w:val="auto"/>
          <w:sz w:val="28"/>
          <w:szCs w:val="28"/>
        </w:rPr>
        <w:t>落实上级关于法治政府建设的各项决策部署，扎实推进法治建设，不断优化法治化营商环境，推动法治政府建设取得新成效。</w:t>
      </w:r>
    </w:p>
    <w:p w14:paraId="49669EA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一、主要负责人履行推进法治建设第一责任人职责情况</w:t>
      </w:r>
    </w:p>
    <w:p w14:paraId="107AB23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深化理论武装，筑牢法治思想根基。将学习贯彻习近平法治思想作为首要政治任务，构建“领导干部专题学、党员干部示范学、线上线下全员学、思想溯源研讨学”的全链条学习体系，持续提升运用法治思维和法治方式深化改革、推动发展、化解矛盾、维护稳定、应对风险的能力。理论文章《法治引擎激活基层治理新动能》在《群众》杂志刊发。持续优化区政府常务会议学法机制，专题学习《中华人民共和国农村集体经济组织法》《中华人民共和国民营经济促进法》等4部法律法规，营造带头尊法学法守法用法的浓厚氛围。</w:t>
      </w:r>
    </w:p>
    <w:p w14:paraId="4B8ABD2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2.健全组织机制，压实法治建设责任。将“平安海门建设专项行动”纳入区委“十二项专项行动”，明确“一体推进法治海门、法治政府、法治社会建设”。充分发挥党委</w:t>
      </w:r>
      <w:r>
        <w:rPr>
          <w:rFonts w:hint="eastAsia" w:ascii="仿宋_GB2312" w:hAnsi="仿宋_GB2312" w:eastAsia="仿宋_GB2312" w:cs="仿宋_GB2312"/>
          <w:color w:val="auto"/>
          <w:sz w:val="28"/>
          <w:szCs w:val="28"/>
          <w:lang w:eastAsia="zh-CN"/>
        </w:rPr>
        <w:t>在</w:t>
      </w:r>
      <w:r>
        <w:rPr>
          <w:rFonts w:hint="eastAsia" w:ascii="仿宋_GB2312" w:hAnsi="仿宋_GB2312" w:eastAsia="仿宋_GB2312" w:cs="仿宋_GB2312"/>
          <w:color w:val="auto"/>
          <w:sz w:val="28"/>
          <w:szCs w:val="28"/>
        </w:rPr>
        <w:t>法治建设</w:t>
      </w:r>
      <w:r>
        <w:rPr>
          <w:rFonts w:hint="eastAsia" w:ascii="仿宋_GB2312" w:hAnsi="仿宋_GB2312" w:eastAsia="仿宋_GB2312" w:cs="仿宋_GB2312"/>
          <w:color w:val="auto"/>
          <w:sz w:val="28"/>
          <w:szCs w:val="28"/>
          <w:lang w:eastAsia="zh-CN"/>
        </w:rPr>
        <w:t>中</w:t>
      </w:r>
      <w:r>
        <w:rPr>
          <w:rFonts w:hint="eastAsia" w:ascii="仿宋_GB2312" w:hAnsi="仿宋_GB2312" w:eastAsia="仿宋_GB2312" w:cs="仿宋_GB2312"/>
          <w:color w:val="auto"/>
          <w:sz w:val="28"/>
          <w:szCs w:val="28"/>
        </w:rPr>
        <w:t>的牵头抓总、统筹谋划、督促落实作用，召开区委全面依法治区委员会第九次会议，将法治政府建设纳入全区发展规划与年度工作计划，专题研究法治化营商环境优化、行政争议化解等重点课题，推进依法决策、依法行政。采用“书面”和“现场”相结合的方式开展专题述法，党政机关及区属国有企业主要负责人结合岗位职责、工作实践和个人思考，提交专题述法报告90余篇，实现述法主体全覆盖。</w:t>
      </w:r>
    </w:p>
    <w:p w14:paraId="2CDF2E7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强化示范引领，破解基层治理难题。创新实施“党政主要负责人领办法治惠民实事项目”，以“关键少数”率先垂范压实法治责任链条，扎实推进女童保护关爱、护薪维权、预付卡监管、电梯安全监察等10个重点项目。严格落实《法治政府建设与责任落实督察工作规定》，完善以党内监督为主导，人大监督、司法监督、群众监督等各类监督贯通协调的工作机制，确保权力规范运行、责任落实到位。围绕镇（街道）平安法治建设开展“全科体检”，聚焦重点领域开展“专科体检”，完成对11个镇（街道）的全覆盖“体检”，排查并整改隐患435项，通过常态化监督推动治理效能持续提升。</w:t>
      </w:r>
    </w:p>
    <w:p w14:paraId="6A28D51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二、推进法治政府建设主要举措和成效</w:t>
      </w:r>
    </w:p>
    <w:p w14:paraId="6392B31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（一）完善依法行政制度体系，提升政府治理质效</w:t>
      </w:r>
    </w:p>
    <w:p w14:paraId="3382679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2"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1.决策机制科学规范。</w:t>
      </w:r>
      <w:r>
        <w:rPr>
          <w:rFonts w:hint="eastAsia" w:ascii="仿宋_GB2312" w:hAnsi="仿宋_GB2312" w:eastAsia="仿宋_GB2312" w:cs="仿宋_GB2312"/>
          <w:color w:val="auto"/>
          <w:sz w:val="28"/>
          <w:szCs w:val="28"/>
        </w:rPr>
        <w:t>严格落实基层减负要求，精准整治形式主义，区政府发文数量明显减少，文件层层配套现象</w:t>
      </w:r>
      <w:r>
        <w:rPr>
          <w:rFonts w:hint="eastAsia" w:ascii="仿宋_GB2312" w:hAnsi="仿宋_GB2312" w:eastAsia="仿宋_GB2312" w:cs="仿宋_GB2312"/>
          <w:color w:val="auto"/>
          <w:sz w:val="28"/>
          <w:szCs w:val="28"/>
          <w:lang w:eastAsia="zh-CN"/>
        </w:rPr>
        <w:t>得到</w:t>
      </w:r>
      <w:r>
        <w:rPr>
          <w:rFonts w:hint="eastAsia" w:ascii="仿宋_GB2312" w:hAnsi="仿宋_GB2312" w:eastAsia="仿宋_GB2312" w:cs="仿宋_GB2312"/>
          <w:color w:val="auto"/>
          <w:sz w:val="28"/>
          <w:szCs w:val="28"/>
        </w:rPr>
        <w:t>有效遏制。全面梳理并优化政府奖补政策，确保与国家宏观政策取向一致。严格执行重大行政决策程序，完善专家论证、公众参与、风险评估、合法性审查和集体讨论决定机制。</w:t>
      </w:r>
      <w:r>
        <w:rPr>
          <w:rFonts w:hint="eastAsia" w:ascii="仿宋_GB2312" w:hAnsi="仿宋_GB2312" w:eastAsia="仿宋_GB2312" w:cs="仿宋_GB2312"/>
          <w:color w:val="auto"/>
          <w:sz w:val="28"/>
          <w:szCs w:val="28"/>
          <w:lang w:eastAsia="zh-CN"/>
        </w:rPr>
        <w:t>加强</w:t>
      </w:r>
      <w:r>
        <w:rPr>
          <w:rFonts w:hint="eastAsia" w:ascii="仿宋_GB2312" w:hAnsi="仿宋_GB2312" w:eastAsia="仿宋_GB2312" w:cs="仿宋_GB2312"/>
          <w:color w:val="auto"/>
          <w:sz w:val="28"/>
          <w:szCs w:val="28"/>
        </w:rPr>
        <w:t>行政规范性文件管理，完成《南通市海门区住宅专项维修资金管理实施细则（试行）》后评估工作，对《南通市海门区公路规划及其红线控制标准》等4件区级行政规范性文件实施公平竞争审查与合法性审核双审机制，</w:t>
      </w:r>
      <w:r>
        <w:rPr>
          <w:rFonts w:hint="eastAsia" w:ascii="仿宋_GB2312" w:hAnsi="仿宋_GB2312" w:eastAsia="仿宋_GB2312" w:cs="仿宋_GB2312"/>
          <w:color w:val="auto"/>
          <w:sz w:val="28"/>
          <w:szCs w:val="28"/>
          <w:lang w:eastAsia="zh-CN"/>
        </w:rPr>
        <w:t>均</w:t>
      </w:r>
      <w:r>
        <w:rPr>
          <w:rFonts w:hint="eastAsia" w:ascii="仿宋_GB2312" w:hAnsi="仿宋_GB2312" w:eastAsia="仿宋_GB2312" w:cs="仿宋_GB2312"/>
          <w:color w:val="auto"/>
          <w:sz w:val="28"/>
          <w:szCs w:val="28"/>
        </w:rPr>
        <w:t>已报市政府和区人大常委会备案。</w:t>
      </w:r>
    </w:p>
    <w:p w14:paraId="28450F2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2"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2.审查机制严密扎实。</w:t>
      </w:r>
      <w:r>
        <w:rPr>
          <w:rFonts w:hint="eastAsia" w:ascii="仿宋_GB2312" w:hAnsi="仿宋_GB2312" w:eastAsia="仿宋_GB2312" w:cs="仿宋_GB2312"/>
          <w:color w:val="auto"/>
          <w:sz w:val="28"/>
          <w:szCs w:val="28"/>
        </w:rPr>
        <w:t>建立健全基层“党政办+司法所+法律顾问+业务骨干”四位一体审核体系，制定镇（街道）行政事项法治审核目录，实现合法性审查全覆盖。全面落实政府法律顾问和公职律师制度，择优选聘</w:t>
      </w:r>
      <w:r>
        <w:rPr>
          <w:rFonts w:hint="eastAsia" w:ascii="仿宋_GB2312" w:hAnsi="仿宋_GB2312" w:eastAsia="仿宋_GB2312" w:cs="仿宋_GB2312"/>
          <w:color w:val="auto"/>
          <w:sz w:val="28"/>
          <w:szCs w:val="28"/>
          <w:lang w:eastAsia="zh-CN"/>
        </w:rPr>
        <w:t>1</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名执业律师担任政府法律顾问，</w:t>
      </w:r>
      <w:r>
        <w:rPr>
          <w:rFonts w:hint="eastAsia" w:ascii="仿宋_GB2312" w:hAnsi="仿宋_GB2312" w:eastAsia="仿宋_GB2312" w:cs="仿宋_GB2312"/>
          <w:i w:val="0"/>
          <w:iCs w:val="0"/>
          <w:caps w:val="0"/>
          <w:color w:val="auto"/>
          <w:spacing w:val="0"/>
          <w:sz w:val="28"/>
          <w:szCs w:val="28"/>
          <w:shd w:val="clear" w:color="auto" w:fill="auto"/>
        </w:rPr>
        <w:t>覆盖各镇（街道）及区政府主要部门。</w:t>
      </w:r>
      <w:r>
        <w:rPr>
          <w:rFonts w:hint="eastAsia" w:ascii="仿宋_GB2312" w:hAnsi="仿宋_GB2312" w:eastAsia="仿宋_GB2312" w:cs="仿宋_GB2312"/>
          <w:color w:val="auto"/>
          <w:sz w:val="28"/>
          <w:szCs w:val="28"/>
        </w:rPr>
        <w:t>聚焦重大项目推进，系统加强招商引资、土地供应等重点领域法律审查工作，</w:t>
      </w:r>
      <w:r>
        <w:rPr>
          <w:rFonts w:hint="eastAsia" w:ascii="仿宋_GB2312" w:hAnsi="仿宋_GB2312" w:eastAsia="仿宋_GB2312" w:cs="仿宋_GB2312"/>
          <w:color w:val="auto"/>
          <w:sz w:val="28"/>
          <w:szCs w:val="28"/>
          <w:lang w:eastAsia="zh-CN"/>
        </w:rPr>
        <w:t>进一步优化</w:t>
      </w:r>
      <w:r>
        <w:rPr>
          <w:rFonts w:hint="eastAsia" w:ascii="仿宋_GB2312" w:hAnsi="仿宋_GB2312" w:eastAsia="仿宋_GB2312" w:cs="仿宋_GB2312"/>
          <w:color w:val="auto"/>
          <w:sz w:val="28"/>
          <w:szCs w:val="28"/>
        </w:rPr>
        <w:t>“四审”联动机制，</w:t>
      </w:r>
      <w:r>
        <w:rPr>
          <w:rFonts w:hint="eastAsia" w:ascii="仿宋_GB2312" w:hAnsi="仿宋_GB2312" w:eastAsia="仿宋_GB2312" w:cs="仿宋_GB2312"/>
          <w:color w:val="000000"/>
          <w:sz w:val="28"/>
          <w:szCs w:val="28"/>
          <w:lang w:val="en-US" w:eastAsia="zh-CN"/>
        </w:rPr>
        <w:t>审查</w:t>
      </w:r>
      <w:r>
        <w:rPr>
          <w:rFonts w:hint="eastAsia" w:ascii="仿宋_GB2312" w:hAnsi="仿宋_GB2312" w:eastAsia="仿宋_GB2312" w:cs="仿宋_GB2312"/>
          <w:color w:val="auto"/>
          <w:sz w:val="28"/>
          <w:szCs w:val="28"/>
          <w:lang w:val="en-US" w:eastAsia="zh-CN"/>
        </w:rPr>
        <w:t>嘉吉粮油等重点项目、体育赛事等重要事项</w:t>
      </w:r>
      <w:r>
        <w:rPr>
          <w:rFonts w:hint="eastAsia" w:ascii="仿宋_GB2312" w:hAnsi="仿宋_GB2312" w:eastAsia="仿宋_GB2312" w:cs="仿宋_GB2312"/>
          <w:sz w:val="28"/>
          <w:szCs w:val="28"/>
          <w:lang w:val="en-US" w:eastAsia="zh-CN"/>
        </w:rPr>
        <w:t>62件</w:t>
      </w:r>
      <w:r>
        <w:rPr>
          <w:rFonts w:hint="eastAsia" w:ascii="仿宋_GB2312" w:hAnsi="仿宋_GB2312" w:eastAsia="仿宋_GB2312" w:cs="仿宋_GB2312"/>
          <w:color w:val="auto"/>
          <w:sz w:val="28"/>
          <w:szCs w:val="28"/>
        </w:rPr>
        <w:t>。</w:t>
      </w:r>
    </w:p>
    <w:p w14:paraId="25E1818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2"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3.行政执法严格规范。</w:t>
      </w:r>
      <w:r>
        <w:rPr>
          <w:rFonts w:hint="eastAsia" w:ascii="仿宋_GB2312" w:hAnsi="仿宋_GB2312" w:eastAsia="仿宋_GB2312" w:cs="仿宋_GB2312"/>
          <w:color w:val="auto"/>
          <w:sz w:val="28"/>
          <w:szCs w:val="28"/>
        </w:rPr>
        <w:t>持续加强市场监管、药品安全、生态环境保护、土地管理等重点领域执法。全面实施不予处罚和减轻处罚清单制度，健全轻微违法行为容错纠错机制，累计办理免罚轻罚案件</w:t>
      </w:r>
      <w:r>
        <w:rPr>
          <w:rFonts w:hint="eastAsia" w:ascii="仿宋_GB2312" w:hAnsi="仿宋_GB2312" w:eastAsia="仿宋_GB2312" w:cs="仿宋_GB2312"/>
          <w:color w:val="auto"/>
          <w:sz w:val="28"/>
          <w:szCs w:val="28"/>
          <w:lang w:val="en-US" w:eastAsia="zh-CN"/>
        </w:rPr>
        <w:t>467</w:t>
      </w:r>
      <w:r>
        <w:rPr>
          <w:rFonts w:hint="eastAsia" w:ascii="仿宋_GB2312" w:hAnsi="仿宋_GB2312" w:eastAsia="仿宋_GB2312" w:cs="仿宋_GB2312"/>
          <w:color w:val="auto"/>
          <w:sz w:val="28"/>
          <w:szCs w:val="28"/>
        </w:rPr>
        <w:t>件，涉及金额</w:t>
      </w:r>
      <w:r>
        <w:rPr>
          <w:rFonts w:hint="eastAsia" w:ascii="仿宋_GB2312" w:hAnsi="仿宋_GB2312" w:eastAsia="仿宋_GB2312" w:cs="仿宋_GB2312"/>
          <w:color w:val="auto"/>
          <w:sz w:val="28"/>
          <w:szCs w:val="28"/>
          <w:lang w:val="en-US" w:eastAsia="zh-CN"/>
        </w:rPr>
        <w:t>2301.46</w:t>
      </w:r>
      <w:r>
        <w:rPr>
          <w:rFonts w:hint="eastAsia" w:ascii="仿宋_GB2312" w:hAnsi="仿宋_GB2312" w:eastAsia="仿宋_GB2312" w:cs="仿宋_GB2312"/>
          <w:color w:val="auto"/>
          <w:sz w:val="28"/>
          <w:szCs w:val="28"/>
        </w:rPr>
        <w:t>万元。立足海门产业特色，开展家纺用品专项整治，立案查处102件，“潘某某虚假宣传案”入选市场监管总局直播电商领域典型案例。推行“网格化+无照发现”共治模式，</w:t>
      </w:r>
      <w:r>
        <w:rPr>
          <w:rFonts w:hint="eastAsia" w:ascii="仿宋_GB2312" w:hAnsi="仿宋_GB2312" w:eastAsia="仿宋_GB2312" w:cs="仿宋_GB2312"/>
          <w:color w:val="auto"/>
          <w:sz w:val="28"/>
          <w:szCs w:val="28"/>
          <w:lang w:eastAsia="zh-CN"/>
        </w:rPr>
        <w:t>实现</w:t>
      </w:r>
      <w:r>
        <w:rPr>
          <w:rFonts w:hint="eastAsia" w:ascii="仿宋_GB2312" w:hAnsi="仿宋_GB2312" w:eastAsia="仿宋_GB2312" w:cs="仿宋_GB2312"/>
          <w:color w:val="auto"/>
          <w:sz w:val="28"/>
          <w:szCs w:val="28"/>
        </w:rPr>
        <w:t>无照经营线索网格化摸排、闭环化处置，</w:t>
      </w:r>
      <w:r>
        <w:rPr>
          <w:rFonts w:hint="eastAsia" w:ascii="仿宋_GB2312" w:hAnsi="仿宋_GB2312" w:eastAsia="仿宋_GB2312" w:cs="仿宋_GB2312"/>
          <w:color w:val="auto"/>
          <w:sz w:val="28"/>
          <w:szCs w:val="28"/>
          <w:lang w:eastAsia="zh-CN"/>
        </w:rPr>
        <w:t>相关做法</w:t>
      </w:r>
      <w:r>
        <w:rPr>
          <w:rFonts w:hint="eastAsia" w:ascii="仿宋_GB2312" w:hAnsi="仿宋_GB2312" w:eastAsia="仿宋_GB2312" w:cs="仿宋_GB2312"/>
          <w:color w:val="auto"/>
          <w:sz w:val="28"/>
          <w:szCs w:val="28"/>
        </w:rPr>
        <w:t>入选2025年江苏省市场监管创新项目及南通市复制推广清单。深入</w:t>
      </w:r>
      <w:r>
        <w:rPr>
          <w:rFonts w:hint="eastAsia" w:ascii="仿宋_GB2312" w:hAnsi="仿宋_GB2312" w:eastAsia="仿宋_GB2312" w:cs="仿宋_GB2312"/>
          <w:color w:val="auto"/>
          <w:sz w:val="28"/>
          <w:szCs w:val="28"/>
          <w:lang w:eastAsia="zh-CN"/>
        </w:rPr>
        <w:t>推进</w:t>
      </w:r>
      <w:r>
        <w:rPr>
          <w:rFonts w:hint="eastAsia" w:ascii="仿宋_GB2312" w:hAnsi="仿宋_GB2312" w:eastAsia="仿宋_GB2312" w:cs="仿宋_GB2312"/>
          <w:color w:val="auto"/>
          <w:sz w:val="28"/>
          <w:szCs w:val="28"/>
        </w:rPr>
        <w:t>安全生产“六化”建设，扎实推进9个“一件事”全链条治理，生产安全事故起数与死亡人数</w:t>
      </w:r>
      <w:r>
        <w:rPr>
          <w:rFonts w:hint="eastAsia" w:ascii="仿宋_GB2312" w:hAnsi="仿宋_GB2312" w:eastAsia="仿宋_GB2312" w:cs="仿宋_GB2312"/>
          <w:color w:val="auto"/>
          <w:sz w:val="28"/>
          <w:szCs w:val="28"/>
          <w:lang w:eastAsia="zh-CN"/>
        </w:rPr>
        <w:t>实现</w:t>
      </w:r>
      <w:r>
        <w:rPr>
          <w:rFonts w:hint="eastAsia" w:ascii="仿宋_GB2312" w:hAnsi="仿宋_GB2312" w:eastAsia="仿宋_GB2312" w:cs="仿宋_GB2312"/>
          <w:color w:val="auto"/>
          <w:sz w:val="28"/>
          <w:szCs w:val="28"/>
        </w:rPr>
        <w:t>“双下降”。</w:t>
      </w:r>
      <w:r>
        <w:rPr>
          <w:rFonts w:hint="eastAsia" w:ascii="仿宋_GB2312" w:hAnsi="仿宋_GB2312" w:eastAsia="仿宋_GB2312" w:cs="仿宋_GB2312"/>
          <w:color w:val="auto"/>
          <w:sz w:val="28"/>
          <w:szCs w:val="28"/>
          <w:lang w:eastAsia="zh-CN"/>
        </w:rPr>
        <w:t>深化“执法</w:t>
      </w:r>
      <w:r>
        <w:rPr>
          <w:rFonts w:hint="eastAsia" w:ascii="仿宋_GB2312" w:hAnsi="仿宋_GB2312" w:eastAsia="仿宋_GB2312" w:cs="仿宋_GB2312"/>
          <w:color w:val="auto"/>
          <w:sz w:val="28"/>
          <w:szCs w:val="28"/>
          <w:lang w:val="en-US" w:eastAsia="zh-CN"/>
        </w:rPr>
        <w:t>+普法</w:t>
      </w:r>
      <w:r>
        <w:rPr>
          <w:rFonts w:hint="eastAsia" w:ascii="仿宋_GB2312" w:hAnsi="仿宋_GB2312" w:eastAsia="仿宋_GB2312" w:cs="仿宋_GB2312"/>
          <w:color w:val="auto"/>
          <w:sz w:val="28"/>
          <w:szCs w:val="28"/>
          <w:lang w:eastAsia="zh-CN"/>
        </w:rPr>
        <w:t>”融合，推行“查前释法、查中讲法、查后督法”模式。</w:t>
      </w:r>
      <w:r>
        <w:rPr>
          <w:rFonts w:hint="eastAsia" w:ascii="仿宋_GB2312" w:hAnsi="仿宋_GB2312" w:eastAsia="仿宋_GB2312" w:cs="仿宋_GB2312"/>
          <w:color w:val="auto"/>
          <w:sz w:val="28"/>
          <w:szCs w:val="28"/>
        </w:rPr>
        <w:t>全面加强执法队伍建设，完成1249名行政执法人员年度培训，通过率94.4%；组织开展涉企行政处罚案卷评查</w:t>
      </w:r>
      <w:r>
        <w:rPr>
          <w:rFonts w:hint="eastAsia" w:ascii="仿宋_GB2312" w:hAnsi="仿宋_GB2312" w:eastAsia="仿宋_GB2312" w:cs="仿宋_GB2312"/>
          <w:color w:val="auto"/>
          <w:sz w:val="28"/>
          <w:szCs w:val="28"/>
          <w:lang w:eastAsia="zh-CN"/>
        </w:rPr>
        <w:t>，合格率</w:t>
      </w:r>
      <w:r>
        <w:rPr>
          <w:rFonts w:hint="eastAsia" w:ascii="仿宋_GB2312" w:hAnsi="仿宋_GB2312" w:eastAsia="仿宋_GB2312" w:cs="仿宋_GB2312"/>
          <w:color w:val="auto"/>
          <w:sz w:val="28"/>
          <w:szCs w:val="28"/>
          <w:lang w:val="en-US" w:eastAsia="zh-CN"/>
        </w:rPr>
        <w:t>100%</w:t>
      </w:r>
      <w:r>
        <w:rPr>
          <w:rFonts w:hint="eastAsia" w:ascii="仿宋_GB2312" w:hAnsi="仿宋_GB2312" w:eastAsia="仿宋_GB2312" w:cs="仿宋_GB2312"/>
          <w:color w:val="auto"/>
          <w:sz w:val="28"/>
          <w:szCs w:val="28"/>
        </w:rPr>
        <w:t>。</w:t>
      </w:r>
    </w:p>
    <w:p w14:paraId="03D61FE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（二）持续转变政府职能，打造一流法治化营商环境</w:t>
      </w:r>
    </w:p>
    <w:p w14:paraId="7C9DDA6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2"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1.政务服务提质增效。</w:t>
      </w:r>
      <w:r>
        <w:rPr>
          <w:rFonts w:hint="eastAsia" w:ascii="仿宋_GB2312" w:hAnsi="仿宋_GB2312" w:eastAsia="仿宋_GB2312" w:cs="仿宋_GB2312"/>
          <w:color w:val="auto"/>
          <w:sz w:val="28"/>
          <w:szCs w:val="28"/>
        </w:rPr>
        <w:t>严格执行行政许可事项清单管理，动态公布2025年行政许可事项246项、依申请公共服务事项212项，全区1222项政务服务事项实现无差别受理、同标准办理。全面落实国家、省“高效办成一件事”重点任务，</w:t>
      </w:r>
      <w:r>
        <w:rPr>
          <w:rFonts w:hint="eastAsia" w:ascii="仿宋_GB2312" w:hAnsi="仿宋_GB2312" w:eastAsia="仿宋_GB2312" w:cs="仿宋_GB2312"/>
          <w:color w:val="auto"/>
          <w:sz w:val="28"/>
          <w:szCs w:val="28"/>
          <w:highlight w:val="none"/>
        </w:rPr>
        <w:t>累计办件</w:t>
      </w:r>
      <w:r>
        <w:rPr>
          <w:rFonts w:hint="eastAsia" w:ascii="仿宋_GB2312" w:hAnsi="仿宋_GB2312" w:eastAsia="仿宋_GB2312" w:cs="仿宋_GB2312"/>
          <w:color w:val="auto"/>
          <w:sz w:val="28"/>
          <w:szCs w:val="28"/>
          <w:highlight w:val="none"/>
          <w:lang w:val="en-US" w:eastAsia="zh-CN"/>
        </w:rPr>
        <w:t>395664</w:t>
      </w:r>
      <w:r>
        <w:rPr>
          <w:rFonts w:hint="eastAsia" w:ascii="仿宋_GB2312" w:hAnsi="仿宋_GB2312" w:eastAsia="仿宋_GB2312" w:cs="仿宋_GB2312"/>
          <w:color w:val="auto"/>
          <w:sz w:val="28"/>
          <w:szCs w:val="28"/>
          <w:highlight w:val="none"/>
        </w:rPr>
        <w:t>件，位居南通市首位</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推出海门特色“一件事”服务126项，办理时限压缩超50%。大力推动基层减负，</w:t>
      </w:r>
      <w:r>
        <w:rPr>
          <w:rFonts w:hint="eastAsia" w:ascii="仿宋_GB2312" w:hAnsi="仿宋_GB2312" w:eastAsia="仿宋_GB2312" w:cs="仿宋_GB2312"/>
          <w:snapToGrid/>
          <w:color w:val="auto"/>
          <w:kern w:val="2"/>
          <w:sz w:val="28"/>
          <w:szCs w:val="28"/>
          <w:lang w:val="en-US" w:eastAsia="zh-CN"/>
        </w:rPr>
        <w:t>面向镇(街道)、村(社区)报表数压减率61%</w:t>
      </w:r>
      <w:r>
        <w:rPr>
          <w:rFonts w:hint="eastAsia" w:ascii="仿宋_GB2312" w:hAnsi="仿宋_GB2312" w:eastAsia="仿宋_GB2312" w:cs="仿宋_GB2312"/>
          <w:color w:val="auto"/>
          <w:sz w:val="28"/>
          <w:szCs w:val="28"/>
        </w:rPr>
        <w:t>；整合人社、医保、民政等多部门系统，基层高频事项“一平台办理”，镇村覆盖率达100%。</w:t>
      </w:r>
    </w:p>
    <w:p w14:paraId="47A1E5E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2"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2.涉企服务精准直通。</w:t>
      </w:r>
      <w:r>
        <w:rPr>
          <w:rFonts w:hint="eastAsia" w:ascii="仿宋_GB2312" w:hAnsi="仿宋_GB2312" w:eastAsia="仿宋_GB2312" w:cs="仿宋_GB2312"/>
          <w:color w:val="auto"/>
          <w:sz w:val="28"/>
          <w:szCs w:val="28"/>
        </w:rPr>
        <w:t>深入实施“海速工程”，建成“长三角政务服务虚拟窗口”，与30</w:t>
      </w:r>
      <w:r>
        <w:rPr>
          <w:rFonts w:hint="eastAsia" w:ascii="仿宋_GB2312" w:hAnsi="仿宋_GB2312" w:eastAsia="仿宋_GB2312" w:cs="仿宋_GB2312"/>
          <w:color w:val="auto"/>
          <w:sz w:val="28"/>
          <w:szCs w:val="28"/>
          <w:lang w:eastAsia="zh-CN"/>
        </w:rPr>
        <w:t>多</w:t>
      </w:r>
      <w:r>
        <w:rPr>
          <w:rFonts w:hint="eastAsia" w:ascii="仿宋_GB2312" w:hAnsi="仿宋_GB2312" w:eastAsia="仿宋_GB2312" w:cs="仿宋_GB2312"/>
          <w:color w:val="auto"/>
          <w:sz w:val="28"/>
          <w:szCs w:val="28"/>
        </w:rPr>
        <w:t>个地区签订“跨省通办”协议，200项事项“省内通办”、162项事项“跨省通办”。落实“省内企业迁移登记”“个转企”一件事服务，打造“15分钟企业开办服务圈”，提供帮办代办服务近4000人次。积极融入全国统一大市场建设，严格执行公平竞争审查制度，累计审查文件</w:t>
      </w:r>
      <w:r>
        <w:rPr>
          <w:rFonts w:hint="eastAsia" w:ascii="仿宋_GB2312" w:hAnsi="仿宋_GB2312" w:eastAsia="仿宋_GB2312" w:cs="仿宋_GB2312"/>
          <w:color w:val="auto"/>
          <w:sz w:val="28"/>
          <w:szCs w:val="28"/>
          <w:lang w:val="en-US" w:eastAsia="zh-CN"/>
        </w:rPr>
        <w:t>218</w:t>
      </w:r>
      <w:r>
        <w:rPr>
          <w:rFonts w:hint="eastAsia" w:ascii="仿宋_GB2312" w:hAnsi="仿宋_GB2312" w:eastAsia="仿宋_GB2312" w:cs="仿宋_GB2312"/>
          <w:color w:val="auto"/>
          <w:sz w:val="28"/>
          <w:szCs w:val="28"/>
        </w:rPr>
        <w:t>件，纠正不公平条款9条，惩戒失信投标供应商</w:t>
      </w:r>
      <w:r>
        <w:rPr>
          <w:rFonts w:hint="eastAsia" w:ascii="仿宋_GB2312" w:hAnsi="仿宋_GB2312" w:eastAsia="仿宋_GB2312" w:cs="仿宋_GB2312"/>
          <w:color w:val="auto"/>
          <w:sz w:val="28"/>
          <w:szCs w:val="28"/>
          <w:lang w:val="en-US" w:eastAsia="zh-CN"/>
        </w:rPr>
        <w:t>18</w:t>
      </w:r>
      <w:r>
        <w:rPr>
          <w:rFonts w:hint="eastAsia" w:ascii="仿宋_GB2312" w:hAnsi="仿宋_GB2312" w:eastAsia="仿宋_GB2312" w:cs="仿宋_GB2312"/>
          <w:color w:val="auto"/>
          <w:sz w:val="28"/>
          <w:szCs w:val="28"/>
        </w:rPr>
        <w:t>家。</w:t>
      </w:r>
      <w:r>
        <w:rPr>
          <w:rFonts w:hint="eastAsia" w:ascii="仿宋_GB2312" w:hAnsi="仿宋_GB2312" w:eastAsia="仿宋_GB2312" w:cs="仿宋_GB2312"/>
          <w:color w:val="auto"/>
          <w:sz w:val="28"/>
          <w:szCs w:val="28"/>
          <w:lang w:eastAsia="zh-CN"/>
        </w:rPr>
        <w:t>聚焦数字赋能执法监督，</w:t>
      </w:r>
      <w:r>
        <w:rPr>
          <w:rFonts w:hint="eastAsia" w:ascii="仿宋_GB2312" w:hAnsi="仿宋_GB2312" w:eastAsia="仿宋_GB2312" w:cs="仿宋_GB2312"/>
          <w:color w:val="auto"/>
          <w:sz w:val="28"/>
          <w:szCs w:val="28"/>
        </w:rPr>
        <w:t>推行“扫码入企”监管模式，检查频次同比下降3</w:t>
      </w:r>
      <w:r>
        <w:rPr>
          <w:rFonts w:hint="eastAsia" w:ascii="仿宋_GB2312" w:hAnsi="仿宋_GB2312" w:eastAsia="仿宋_GB2312" w:cs="仿宋_GB2312"/>
          <w:color w:val="auto"/>
          <w:sz w:val="28"/>
          <w:szCs w:val="28"/>
          <w:lang w:val="en-US" w:eastAsia="zh-CN"/>
        </w:rPr>
        <w:t>2.8</w:t>
      </w:r>
      <w:r>
        <w:rPr>
          <w:rFonts w:hint="eastAsia" w:ascii="仿宋_GB2312" w:hAnsi="仿宋_GB2312" w:eastAsia="仿宋_GB2312" w:cs="仿宋_GB2312"/>
          <w:color w:val="auto"/>
          <w:sz w:val="28"/>
          <w:szCs w:val="28"/>
        </w:rPr>
        <w:t>%。“执法有度·企码无忧”行政执法监督码</w:t>
      </w:r>
      <w:r>
        <w:rPr>
          <w:rFonts w:hint="eastAsia" w:ascii="仿宋_GB2312" w:hAnsi="仿宋_GB2312" w:eastAsia="仿宋_GB2312" w:cs="仿宋_GB2312"/>
          <w:color w:val="auto"/>
          <w:sz w:val="28"/>
          <w:szCs w:val="28"/>
          <w:lang w:eastAsia="zh-CN"/>
        </w:rPr>
        <w:t>已覆盖工业、服务业等各类</w:t>
      </w:r>
      <w:r>
        <w:rPr>
          <w:rFonts w:hint="eastAsia" w:ascii="仿宋_GB2312" w:hAnsi="仿宋_GB2312" w:eastAsia="仿宋_GB2312" w:cs="仿宋_GB2312"/>
          <w:color w:val="auto"/>
          <w:sz w:val="28"/>
          <w:szCs w:val="28"/>
        </w:rPr>
        <w:t>企业1334家，</w:t>
      </w:r>
      <w:r>
        <w:rPr>
          <w:rFonts w:hint="eastAsia" w:ascii="仿宋_GB2312" w:hAnsi="仿宋_GB2312" w:eastAsia="仿宋_GB2312" w:cs="仿宋_GB2312"/>
          <w:color w:val="auto"/>
          <w:sz w:val="28"/>
          <w:szCs w:val="28"/>
          <w:lang w:eastAsia="zh-CN"/>
        </w:rPr>
        <w:t>其中</w:t>
      </w:r>
      <w:r>
        <w:rPr>
          <w:rFonts w:hint="eastAsia" w:ascii="仿宋_GB2312" w:hAnsi="仿宋_GB2312" w:eastAsia="仿宋_GB2312" w:cs="仿宋_GB2312"/>
          <w:color w:val="auto"/>
          <w:sz w:val="28"/>
          <w:szCs w:val="28"/>
        </w:rPr>
        <w:t>规上工业类企业</w:t>
      </w:r>
      <w:r>
        <w:rPr>
          <w:rFonts w:hint="eastAsia" w:ascii="仿宋_GB2312" w:hAnsi="仿宋_GB2312" w:eastAsia="仿宋_GB2312" w:cs="仿宋_GB2312"/>
          <w:color w:val="auto"/>
          <w:sz w:val="28"/>
          <w:szCs w:val="28"/>
          <w:lang w:eastAsia="zh-CN"/>
        </w:rPr>
        <w:t>实现</w:t>
      </w:r>
      <w:r>
        <w:rPr>
          <w:rFonts w:hint="eastAsia" w:ascii="仿宋_GB2312" w:hAnsi="仿宋_GB2312" w:eastAsia="仿宋_GB2312" w:cs="仿宋_GB2312"/>
          <w:color w:val="auto"/>
          <w:sz w:val="28"/>
          <w:szCs w:val="28"/>
        </w:rPr>
        <w:t>全覆盖。</w:t>
      </w:r>
    </w:p>
    <w:p w14:paraId="7A5B8DF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562"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lang w:val="en-US" w:eastAsia="zh-CN"/>
        </w:rPr>
        <w:t>3.</w:t>
      </w:r>
      <w:r>
        <w:rPr>
          <w:rFonts w:hint="eastAsia" w:ascii="仿宋_GB2312" w:hAnsi="仿宋_GB2312" w:eastAsia="仿宋_GB2312" w:cs="仿宋_GB2312"/>
          <w:b/>
          <w:bCs/>
          <w:color w:val="auto"/>
          <w:sz w:val="28"/>
          <w:szCs w:val="28"/>
        </w:rPr>
        <w:t>营商环境法治护航。</w:t>
      </w:r>
      <w:r>
        <w:rPr>
          <w:rFonts w:hint="eastAsia" w:ascii="仿宋_GB2312" w:hAnsi="仿宋_GB2312" w:eastAsia="仿宋_GB2312" w:cs="仿宋_GB2312"/>
          <w:color w:val="auto"/>
          <w:sz w:val="28"/>
          <w:szCs w:val="28"/>
          <w:lang w:eastAsia="zh-CN"/>
        </w:rPr>
        <w:t>颁布</w:t>
      </w:r>
      <w:r>
        <w:rPr>
          <w:rFonts w:hint="eastAsia" w:ascii="仿宋_GB2312" w:hAnsi="仿宋_GB2312" w:eastAsia="仿宋_GB2312" w:cs="仿宋_GB2312"/>
          <w:color w:val="auto"/>
          <w:sz w:val="28"/>
          <w:szCs w:val="28"/>
        </w:rPr>
        <w:t>《南通市海门区2025年“万事好通·马上办”营商环境提优举措》《2025年全区现代服务业高质量发展攻坚方案》《关于深入推进海洋经济高质量发展的若干意见》等文件，编印《南通市海门区重点惠企政策汇编（2025版）》。</w:t>
      </w:r>
      <w:r>
        <w:rPr>
          <w:rFonts w:hint="eastAsia" w:ascii="仿宋_GB2312" w:hAnsi="仿宋_GB2312" w:eastAsia="仿宋_GB2312" w:cs="仿宋_GB2312"/>
          <w:b w:val="0"/>
          <w:bCs w:val="0"/>
          <w:color w:val="auto"/>
          <w:sz w:val="28"/>
          <w:szCs w:val="28"/>
          <w:lang w:val="en-US" w:eastAsia="zh-CN"/>
        </w:rPr>
        <w:t>开展国有资产清查利用工作，依法盘活资产资源资金，全区国有企业整改盘活率达85.09%。优化审批流程</w:t>
      </w:r>
      <w:r>
        <w:rPr>
          <w:rFonts w:hint="eastAsia" w:ascii="仿宋_GB2312" w:hAnsi="仿宋_GB2312" w:eastAsia="仿宋_GB2312" w:cs="仿宋_GB2312"/>
          <w:color w:val="auto"/>
          <w:sz w:val="28"/>
          <w:szCs w:val="28"/>
          <w:lang w:eastAsia="zh-CN"/>
        </w:rPr>
        <w:t>，推行</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两证</w:t>
      </w:r>
      <w:r>
        <w:rPr>
          <w:rFonts w:hint="eastAsia" w:ascii="仿宋_GB2312" w:hAnsi="仿宋_GB2312" w:eastAsia="仿宋_GB2312" w:cs="仿宋_GB2312"/>
          <w:color w:val="auto"/>
          <w:sz w:val="28"/>
          <w:szCs w:val="28"/>
        </w:rPr>
        <w:t>合一”“规划+人防”“拿地即开工”等改革举措，保障项目建设顺利推进。为</w:t>
      </w:r>
      <w:r>
        <w:rPr>
          <w:rFonts w:hint="eastAsia" w:ascii="仿宋_GB2312" w:hAnsi="仿宋_GB2312" w:eastAsia="仿宋_GB2312" w:cs="仿宋_GB2312"/>
          <w:color w:val="auto"/>
          <w:sz w:val="28"/>
          <w:szCs w:val="28"/>
          <w:lang w:val="en-US" w:eastAsia="zh-CN"/>
        </w:rPr>
        <w:t>372</w:t>
      </w:r>
      <w:r>
        <w:rPr>
          <w:rFonts w:hint="eastAsia" w:ascii="仿宋_GB2312" w:hAnsi="仿宋_GB2312" w:eastAsia="仿宋_GB2312" w:cs="仿宋_GB2312"/>
          <w:color w:val="auto"/>
          <w:sz w:val="28"/>
          <w:szCs w:val="28"/>
        </w:rPr>
        <w:t>家小微企业和个体工商户开展“法治体检”，举办讲座86场，提出建议219条。完善信用修复机制，助力6家企业完成信用修复。加大知识产权保护力度，严厉打击侵权违法行为</w:t>
      </w:r>
      <w:r>
        <w:rPr>
          <w:rFonts w:hint="eastAsia" w:ascii="仿宋_GB2312" w:hAnsi="仿宋_GB2312" w:eastAsia="仿宋_GB2312" w:cs="仿宋_GB2312"/>
          <w:color w:val="auto"/>
          <w:sz w:val="28"/>
          <w:szCs w:val="28"/>
          <w:lang w:eastAsia="zh-CN"/>
        </w:rPr>
        <w:t>，“某公司擅自更换注册商标案”</w:t>
      </w:r>
      <w:r>
        <w:rPr>
          <w:rFonts w:hint="eastAsia" w:ascii="仿宋_GB2312" w:hAnsi="仿宋_GB2312" w:eastAsia="仿宋_GB2312" w:cs="仿宋_GB2312"/>
          <w:color w:val="auto"/>
          <w:sz w:val="28"/>
          <w:szCs w:val="28"/>
        </w:rPr>
        <w:t>入选江苏省市场监管系统知识产权保护典型案例。</w:t>
      </w:r>
    </w:p>
    <w:p w14:paraId="5866AE0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（三）提升社会治理法治化水平，夯实法治社会根基</w:t>
      </w:r>
    </w:p>
    <w:p w14:paraId="4B881A8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2"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lang w:val="en-US" w:eastAsia="zh-CN"/>
        </w:rPr>
        <w:t>1.矛盾纠纷多元化解。</w:t>
      </w:r>
      <w:r>
        <w:rPr>
          <w:rFonts w:hint="eastAsia" w:ascii="仿宋_GB2312" w:hAnsi="仿宋_GB2312" w:eastAsia="仿宋_GB2312" w:cs="仿宋_GB2312"/>
          <w:color w:val="auto"/>
          <w:sz w:val="28"/>
          <w:szCs w:val="28"/>
        </w:rPr>
        <w:t>发挥综治中心主平台作用，紧扣“五个规范化”扎实推进区、镇、村三级综治中心建设，区信访局整体入驻区综治中心，</w:t>
      </w:r>
      <w:r>
        <w:rPr>
          <w:rFonts w:hint="eastAsia" w:ascii="仿宋_GB2312" w:hAnsi="仿宋_GB2312" w:eastAsia="仿宋_GB2312" w:cs="仿宋_GB2312"/>
          <w:color w:val="auto"/>
          <w:sz w:val="28"/>
          <w:szCs w:val="28"/>
          <w:lang w:eastAsia="zh-CN"/>
        </w:rPr>
        <w:t>整合</w:t>
      </w:r>
      <w:r>
        <w:rPr>
          <w:rFonts w:hint="eastAsia" w:ascii="仿宋_GB2312" w:hAnsi="仿宋_GB2312" w:eastAsia="仿宋_GB2312" w:cs="仿宋_GB2312"/>
          <w:color w:val="auto"/>
          <w:sz w:val="28"/>
          <w:szCs w:val="28"/>
        </w:rPr>
        <w:t>13家常驻单位与5家轮驻单位力量，构建“中心程序推进、部门实质解决”的工作格局。加强专职调解员队伍建设，分类建强14个专业调处工作站，交通事故损害赔偿调解处理中心累计理赔金额超3亿元</w:t>
      </w:r>
      <w:r>
        <w:rPr>
          <w:rFonts w:hint="eastAsia" w:ascii="仿宋_GB2312" w:hAnsi="仿宋_GB2312" w:eastAsia="仿宋_GB2312" w:cs="仿宋_GB2312"/>
          <w:color w:val="auto"/>
          <w:sz w:val="28"/>
          <w:szCs w:val="28"/>
          <w:lang w:eastAsia="zh-CN"/>
        </w:rPr>
        <w:t>，居全省首位</w:t>
      </w:r>
      <w:r>
        <w:rPr>
          <w:rFonts w:hint="eastAsia" w:ascii="仿宋_GB2312" w:hAnsi="仿宋_GB2312" w:eastAsia="仿宋_GB2312" w:cs="仿宋_GB2312"/>
          <w:color w:val="auto"/>
          <w:sz w:val="28"/>
          <w:szCs w:val="28"/>
        </w:rPr>
        <w:t>。全区各级调解组织共受理矛盾纠纷</w:t>
      </w:r>
      <w:r>
        <w:rPr>
          <w:rFonts w:hint="eastAsia" w:ascii="仿宋_GB2312" w:hAnsi="仿宋_GB2312" w:eastAsia="仿宋_GB2312" w:cs="仿宋_GB2312"/>
          <w:color w:val="auto"/>
          <w:sz w:val="28"/>
          <w:szCs w:val="28"/>
          <w:lang w:val="en-US" w:eastAsia="zh-CN"/>
        </w:rPr>
        <w:t>26534</w:t>
      </w:r>
      <w:r>
        <w:rPr>
          <w:rFonts w:hint="eastAsia" w:ascii="仿宋_GB2312" w:hAnsi="仿宋_GB2312" w:eastAsia="仿宋_GB2312" w:cs="仿宋_GB2312"/>
          <w:color w:val="auto"/>
          <w:sz w:val="28"/>
          <w:szCs w:val="28"/>
        </w:rPr>
        <w:t>起，调解成功</w:t>
      </w:r>
      <w:r>
        <w:rPr>
          <w:rFonts w:hint="eastAsia" w:ascii="仿宋_GB2312" w:hAnsi="仿宋_GB2312" w:eastAsia="仿宋_GB2312" w:cs="仿宋_GB2312"/>
          <w:color w:val="auto"/>
          <w:sz w:val="28"/>
          <w:szCs w:val="28"/>
          <w:lang w:val="en-US" w:eastAsia="zh-CN"/>
        </w:rPr>
        <w:t>26058</w:t>
      </w:r>
      <w:r>
        <w:rPr>
          <w:rFonts w:hint="eastAsia" w:ascii="仿宋_GB2312" w:hAnsi="仿宋_GB2312" w:eastAsia="仿宋_GB2312" w:cs="仿宋_GB2312"/>
          <w:color w:val="auto"/>
          <w:sz w:val="28"/>
          <w:szCs w:val="28"/>
        </w:rPr>
        <w:t>起，成功率98.</w:t>
      </w:r>
      <w:r>
        <w:rPr>
          <w:rFonts w:hint="eastAsia" w:ascii="仿宋_GB2312" w:hAnsi="仿宋_GB2312" w:eastAsia="仿宋_GB2312" w:cs="仿宋_GB2312"/>
          <w:color w:val="auto"/>
          <w:sz w:val="28"/>
          <w:szCs w:val="28"/>
          <w:lang w:val="en-US" w:eastAsia="zh-CN"/>
        </w:rPr>
        <w:t>21</w:t>
      </w:r>
      <w:r>
        <w:rPr>
          <w:rFonts w:hint="eastAsia" w:ascii="仿宋_GB2312" w:hAnsi="仿宋_GB2312" w:eastAsia="仿宋_GB2312" w:cs="仿宋_GB2312"/>
          <w:color w:val="auto"/>
          <w:sz w:val="28"/>
          <w:szCs w:val="28"/>
        </w:rPr>
        <w:t>%，涉及金额</w:t>
      </w:r>
      <w:r>
        <w:rPr>
          <w:rFonts w:hint="eastAsia" w:ascii="仿宋_GB2312" w:hAnsi="仿宋_GB2312" w:eastAsia="仿宋_GB2312" w:cs="仿宋_GB2312"/>
          <w:color w:val="auto"/>
          <w:sz w:val="28"/>
          <w:szCs w:val="28"/>
          <w:lang w:val="en-US" w:eastAsia="zh-CN"/>
        </w:rPr>
        <w:t>7240</w:t>
      </w:r>
      <w:r>
        <w:rPr>
          <w:rFonts w:hint="eastAsia" w:ascii="仿宋_GB2312" w:hAnsi="仿宋_GB2312" w:eastAsia="仿宋_GB2312" w:cs="仿宋_GB2312"/>
          <w:color w:val="auto"/>
          <w:sz w:val="28"/>
          <w:szCs w:val="28"/>
        </w:rPr>
        <w:t>余万元。</w:t>
      </w:r>
      <w:r>
        <w:rPr>
          <w:rFonts w:hint="eastAsia" w:ascii="仿宋_GB2312" w:hAnsi="仿宋_GB2312" w:eastAsia="仿宋_GB2312" w:cs="仿宋_GB2312"/>
          <w:b w:val="0"/>
          <w:bCs w:val="0"/>
          <w:color w:val="auto"/>
          <w:kern w:val="2"/>
          <w:sz w:val="28"/>
          <w:szCs w:val="28"/>
          <w:highlight w:val="none"/>
          <w:lang w:val="en-US" w:eastAsia="zh-CN" w:bidi="ar-SA"/>
        </w:rPr>
        <w:t>行政争议调处中心实体化运行，</w:t>
      </w:r>
      <w:r>
        <w:rPr>
          <w:rFonts w:hint="eastAsia" w:ascii="仿宋_GB2312" w:hAnsi="仿宋_GB2312" w:eastAsia="仿宋_GB2312" w:cs="仿宋_GB2312"/>
          <w:color w:val="auto"/>
          <w:sz w:val="28"/>
          <w:szCs w:val="28"/>
          <w:lang w:eastAsia="zh-CN"/>
        </w:rPr>
        <w:t>研发</w:t>
      </w:r>
      <w:r>
        <w:rPr>
          <w:rFonts w:hint="eastAsia" w:ascii="仿宋_GB2312" w:hAnsi="仿宋_GB2312" w:eastAsia="仿宋_GB2312" w:cs="仿宋_GB2312"/>
          <w:color w:val="auto"/>
          <w:sz w:val="28"/>
          <w:szCs w:val="28"/>
        </w:rPr>
        <w:t>全省首个行政复议智能助手“复e通”，</w:t>
      </w:r>
      <w:r>
        <w:rPr>
          <w:rFonts w:hint="eastAsia" w:ascii="仿宋_GB2312" w:hAnsi="仿宋_GB2312" w:eastAsia="仿宋_GB2312" w:cs="仿宋_GB2312"/>
          <w:color w:val="auto"/>
          <w:sz w:val="28"/>
          <w:szCs w:val="28"/>
          <w:lang w:eastAsia="zh-CN"/>
        </w:rPr>
        <w:t>入选</w:t>
      </w:r>
      <w:r>
        <w:rPr>
          <w:rFonts w:hint="eastAsia" w:ascii="仿宋_GB2312" w:hAnsi="仿宋_GB2312" w:eastAsia="仿宋_GB2312" w:cs="仿宋_GB2312"/>
          <w:color w:val="auto"/>
          <w:sz w:val="28"/>
          <w:szCs w:val="28"/>
        </w:rPr>
        <w:t>江苏网络强省建设优秀实践成果。全年办理行政诉讼案件</w:t>
      </w:r>
      <w:r>
        <w:rPr>
          <w:rFonts w:hint="eastAsia" w:ascii="仿宋_GB2312" w:hAnsi="仿宋_GB2312" w:eastAsia="仿宋_GB2312" w:cs="仿宋_GB2312"/>
          <w:color w:val="auto"/>
          <w:sz w:val="28"/>
          <w:szCs w:val="28"/>
          <w:lang w:val="en-US" w:eastAsia="zh-CN"/>
        </w:rPr>
        <w:t>158</w:t>
      </w:r>
      <w:r>
        <w:rPr>
          <w:rFonts w:hint="eastAsia" w:ascii="仿宋_GB2312" w:hAnsi="仿宋_GB2312" w:eastAsia="仿宋_GB2312" w:cs="仿宋_GB2312"/>
          <w:color w:val="auto"/>
          <w:sz w:val="28"/>
          <w:szCs w:val="28"/>
        </w:rPr>
        <w:t>件，调撤率达3</w:t>
      </w: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4%，居</w:t>
      </w:r>
      <w:r>
        <w:rPr>
          <w:rFonts w:hint="eastAsia" w:ascii="仿宋_GB2312" w:hAnsi="仿宋_GB2312" w:eastAsia="仿宋_GB2312" w:cs="仿宋_GB2312"/>
          <w:color w:val="auto"/>
          <w:sz w:val="28"/>
          <w:szCs w:val="28"/>
          <w:lang w:val="en-US" w:eastAsia="zh-CN"/>
        </w:rPr>
        <w:t>南通各县市区</w:t>
      </w:r>
      <w:r>
        <w:rPr>
          <w:rFonts w:hint="eastAsia" w:ascii="仿宋_GB2312" w:hAnsi="仿宋_GB2312" w:eastAsia="仿宋_GB2312" w:cs="仿宋_GB2312"/>
          <w:color w:val="auto"/>
          <w:sz w:val="28"/>
          <w:szCs w:val="28"/>
        </w:rPr>
        <w:t>第一。</w:t>
      </w:r>
    </w:p>
    <w:p w14:paraId="3111670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2"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lang w:val="en-US" w:eastAsia="zh-CN"/>
        </w:rPr>
        <w:t>2.社会治理协同联动。</w:t>
      </w:r>
      <w:r>
        <w:rPr>
          <w:rFonts w:hint="eastAsia" w:ascii="仿宋_GB2312" w:hAnsi="仿宋_GB2312" w:eastAsia="仿宋_GB2312" w:cs="仿宋_GB2312"/>
          <w:color w:val="auto"/>
          <w:sz w:val="28"/>
          <w:szCs w:val="28"/>
          <w:lang w:val="en-US" w:eastAsia="zh-CN"/>
        </w:rPr>
        <w:t>推动</w:t>
      </w:r>
      <w:r>
        <w:rPr>
          <w:rFonts w:hint="eastAsia" w:ascii="仿宋_GB2312" w:hAnsi="仿宋_GB2312" w:eastAsia="仿宋_GB2312" w:cs="仿宋_GB2312"/>
          <w:color w:val="auto"/>
          <w:sz w:val="28"/>
          <w:szCs w:val="28"/>
        </w:rPr>
        <w:t>力量下沉</w:t>
      </w:r>
      <w:r>
        <w:rPr>
          <w:rFonts w:hint="eastAsia" w:ascii="仿宋_GB2312" w:hAnsi="仿宋_GB2312" w:eastAsia="仿宋_GB2312" w:cs="仿宋_GB2312"/>
          <w:color w:val="auto"/>
          <w:sz w:val="28"/>
          <w:szCs w:val="28"/>
          <w:lang w:val="en-US" w:eastAsia="zh-CN"/>
        </w:rPr>
        <w:t>一线，</w:t>
      </w:r>
      <w:r>
        <w:rPr>
          <w:rFonts w:hint="eastAsia" w:ascii="仿宋_GB2312" w:hAnsi="仿宋_GB2312" w:eastAsia="仿宋_GB2312" w:cs="仿宋_GB2312"/>
          <w:color w:val="auto"/>
          <w:sz w:val="28"/>
          <w:szCs w:val="28"/>
          <w:lang w:eastAsia="zh-CN"/>
        </w:rPr>
        <w:t>抽调</w:t>
      </w:r>
      <w:r>
        <w:rPr>
          <w:rFonts w:hint="eastAsia" w:ascii="仿宋_GB2312" w:hAnsi="仿宋_GB2312" w:eastAsia="仿宋_GB2312" w:cs="仿宋_GB2312"/>
          <w:color w:val="auto"/>
          <w:sz w:val="28"/>
          <w:szCs w:val="28"/>
        </w:rPr>
        <w:t>25名区级</w:t>
      </w:r>
      <w:r>
        <w:rPr>
          <w:rFonts w:hint="eastAsia" w:ascii="仿宋_GB2312" w:hAnsi="仿宋_GB2312" w:eastAsia="仿宋_GB2312" w:cs="仿宋_GB2312"/>
          <w:color w:val="auto"/>
          <w:sz w:val="28"/>
          <w:szCs w:val="28"/>
          <w:lang w:eastAsia="zh-CN"/>
        </w:rPr>
        <w:t>业务</w:t>
      </w:r>
      <w:r>
        <w:rPr>
          <w:rFonts w:hint="eastAsia" w:ascii="仿宋_GB2312" w:hAnsi="仿宋_GB2312" w:eastAsia="仿宋_GB2312" w:cs="仿宋_GB2312"/>
          <w:color w:val="auto"/>
          <w:sz w:val="28"/>
          <w:szCs w:val="28"/>
        </w:rPr>
        <w:t>骨干组成5个驻点工作组下沉</w:t>
      </w:r>
      <w:r>
        <w:rPr>
          <w:rFonts w:hint="eastAsia" w:ascii="仿宋_GB2312" w:hAnsi="仿宋_GB2312" w:eastAsia="仿宋_GB2312" w:cs="仿宋_GB2312"/>
          <w:color w:val="auto"/>
          <w:sz w:val="28"/>
          <w:szCs w:val="28"/>
          <w:lang w:eastAsia="zh-CN"/>
        </w:rPr>
        <w:t>区</w:t>
      </w:r>
      <w:r>
        <w:rPr>
          <w:rFonts w:hint="eastAsia" w:ascii="仿宋_GB2312" w:hAnsi="仿宋_GB2312" w:eastAsia="仿宋_GB2312" w:cs="仿宋_GB2312"/>
          <w:color w:val="auto"/>
          <w:sz w:val="28"/>
          <w:szCs w:val="28"/>
        </w:rPr>
        <w:t>镇（街道），56个区级部门（国企）挂钩联系111个村（居），形成问题下带、事项上报的闭环管理机制。构建</w:t>
      </w:r>
      <w:r>
        <w:rPr>
          <w:rFonts w:hint="eastAsia" w:ascii="仿宋_GB2312" w:hAnsi="仿宋_GB2312" w:eastAsia="仿宋_GB2312" w:cs="仿宋_GB2312"/>
          <w:color w:val="auto"/>
          <w:sz w:val="28"/>
          <w:szCs w:val="28"/>
          <w:lang w:eastAsia="zh-CN"/>
        </w:rPr>
        <w:t>立体化应急管理体系，</w:t>
      </w:r>
      <w:r>
        <w:rPr>
          <w:rFonts w:hint="eastAsia" w:ascii="仿宋_GB2312" w:hAnsi="仿宋_GB2312" w:eastAsia="仿宋_GB2312" w:cs="仿宋_GB2312"/>
          <w:color w:val="auto"/>
          <w:sz w:val="28"/>
          <w:szCs w:val="28"/>
        </w:rPr>
        <w:t>新建“最小作战单元”15个、“最小应急单元”507个、“最小治理单元”11451个</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深化群防群治，推广“蓝背心工程”539家，参与人员近2000人；创新“包干制”隐患治理模式，获公安部《改革专刊》推介。整合“三官一律”“五老人员”“两代表一委员”等力量参与基层治理，推动矛盾纠纷早发现、早化解。扎实开展信访矛盾“百日百案攻坚”专项行动，</w:t>
      </w:r>
      <w:r>
        <w:rPr>
          <w:rFonts w:hint="eastAsia" w:ascii="仿宋_GB2312" w:hAnsi="仿宋_GB2312" w:eastAsia="仿宋_GB2312" w:cs="仿宋_GB2312"/>
          <w:color w:val="auto"/>
          <w:sz w:val="28"/>
          <w:szCs w:val="28"/>
          <w:lang w:val="en-US" w:eastAsia="zh-CN"/>
        </w:rPr>
        <w:t>积极推进</w:t>
      </w:r>
      <w:r>
        <w:rPr>
          <w:rFonts w:hint="eastAsia" w:ascii="仿宋_GB2312" w:hAnsi="仿宋_GB2312" w:eastAsia="仿宋_GB2312" w:cs="仿宋_GB2312"/>
          <w:color w:val="auto"/>
          <w:sz w:val="28"/>
          <w:szCs w:val="28"/>
        </w:rPr>
        <w:t>信访</w:t>
      </w:r>
      <w:r>
        <w:rPr>
          <w:rFonts w:hint="eastAsia" w:ascii="仿宋_GB2312" w:hAnsi="仿宋_GB2312" w:eastAsia="仿宋_GB2312" w:cs="仿宋_GB2312"/>
          <w:color w:val="auto"/>
          <w:sz w:val="28"/>
          <w:szCs w:val="28"/>
          <w:lang w:val="en-US" w:eastAsia="zh-CN"/>
        </w:rPr>
        <w:t>矛盾实质性</w:t>
      </w:r>
      <w:r>
        <w:rPr>
          <w:rFonts w:hint="eastAsia" w:ascii="仿宋_GB2312" w:hAnsi="仿宋_GB2312" w:eastAsia="仿宋_GB2312" w:cs="仿宋_GB2312"/>
          <w:color w:val="auto"/>
          <w:sz w:val="28"/>
          <w:szCs w:val="28"/>
        </w:rPr>
        <w:t>化解。</w:t>
      </w:r>
    </w:p>
    <w:p w14:paraId="51B3E7A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2"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lang w:val="en-US" w:eastAsia="zh-CN"/>
        </w:rPr>
        <w:t>3.法律服务普惠优质。</w:t>
      </w:r>
      <w:r>
        <w:rPr>
          <w:rFonts w:hint="eastAsia" w:ascii="仿宋_GB2312" w:hAnsi="仿宋_GB2312" w:eastAsia="仿宋_GB2312" w:cs="仿宋_GB2312"/>
          <w:color w:val="auto"/>
          <w:sz w:val="28"/>
          <w:szCs w:val="28"/>
        </w:rPr>
        <w:t>集成融合法律援助、12348热线、公证等资源</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全年受理法律援助案件</w:t>
      </w:r>
      <w:r>
        <w:rPr>
          <w:rFonts w:hint="eastAsia" w:ascii="仿宋_GB2312" w:hAnsi="仿宋_GB2312" w:eastAsia="仿宋_GB2312" w:cs="仿宋_GB2312"/>
          <w:color w:val="auto"/>
          <w:sz w:val="28"/>
          <w:szCs w:val="28"/>
          <w:lang w:val="en-US" w:eastAsia="zh-CN"/>
        </w:rPr>
        <w:t>1426</w:t>
      </w:r>
      <w:r>
        <w:rPr>
          <w:rFonts w:hint="eastAsia" w:ascii="仿宋_GB2312" w:hAnsi="仿宋_GB2312" w:eastAsia="仿宋_GB2312" w:cs="仿宋_GB2312"/>
          <w:color w:val="auto"/>
          <w:sz w:val="28"/>
          <w:szCs w:val="28"/>
        </w:rPr>
        <w:t>件，办理法律帮助及认罪认罚见证案件</w:t>
      </w:r>
      <w:r>
        <w:rPr>
          <w:rFonts w:hint="eastAsia" w:ascii="仿宋_GB2312" w:hAnsi="仿宋_GB2312" w:eastAsia="仿宋_GB2312" w:cs="仿宋_GB2312"/>
          <w:color w:val="auto"/>
          <w:sz w:val="28"/>
          <w:szCs w:val="28"/>
          <w:lang w:val="en-US" w:eastAsia="zh-CN"/>
        </w:rPr>
        <w:t>745</w:t>
      </w:r>
      <w:r>
        <w:rPr>
          <w:rFonts w:hint="eastAsia" w:ascii="仿宋_GB2312" w:hAnsi="仿宋_GB2312" w:eastAsia="仿宋_GB2312" w:cs="仿宋_GB2312"/>
          <w:color w:val="auto"/>
          <w:sz w:val="28"/>
          <w:szCs w:val="28"/>
        </w:rPr>
        <w:t>件，</w:t>
      </w:r>
      <w:r>
        <w:rPr>
          <w:rFonts w:hint="eastAsia" w:ascii="仿宋_GB2312" w:hAnsi="仿宋_GB2312" w:eastAsia="仿宋_GB2312" w:cs="仿宋_GB2312"/>
          <w:color w:val="auto"/>
          <w:kern w:val="2"/>
          <w:sz w:val="28"/>
          <w:szCs w:val="28"/>
          <w:lang w:val="en-US" w:eastAsia="zh-CN" w:bidi="ar-SA"/>
        </w:rPr>
        <w:t>“龚某某等63人追索劳动报酬纠纷案</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获评江苏省法律援助典型案例。12348热线处理工单</w:t>
      </w:r>
      <w:r>
        <w:rPr>
          <w:rFonts w:hint="eastAsia" w:ascii="仿宋_GB2312" w:hAnsi="仿宋_GB2312" w:eastAsia="仿宋_GB2312" w:cs="仿宋_GB2312"/>
          <w:color w:val="auto"/>
          <w:sz w:val="28"/>
          <w:szCs w:val="28"/>
          <w:lang w:val="en-US" w:eastAsia="zh-CN"/>
        </w:rPr>
        <w:t>3100</w:t>
      </w:r>
      <w:r>
        <w:rPr>
          <w:rFonts w:hint="eastAsia" w:ascii="仿宋_GB2312" w:hAnsi="仿宋_GB2312" w:eastAsia="仿宋_GB2312" w:cs="仿宋_GB2312"/>
          <w:color w:val="auto"/>
          <w:sz w:val="28"/>
          <w:szCs w:val="28"/>
        </w:rPr>
        <w:t>件。落实公证减证便民，推行公证“在线办”“远程办”</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办理各类公证</w:t>
      </w:r>
      <w:r>
        <w:rPr>
          <w:rFonts w:hint="eastAsia" w:ascii="仿宋_GB2312" w:hAnsi="仿宋_GB2312" w:eastAsia="仿宋_GB2312" w:cs="仿宋_GB2312"/>
          <w:color w:val="auto"/>
          <w:sz w:val="28"/>
          <w:szCs w:val="28"/>
          <w:lang w:val="en-US" w:eastAsia="zh-CN"/>
        </w:rPr>
        <w:t>6618</w:t>
      </w:r>
      <w:r>
        <w:rPr>
          <w:rFonts w:hint="eastAsia" w:ascii="仿宋_GB2312" w:hAnsi="仿宋_GB2312" w:eastAsia="仿宋_GB2312" w:cs="仿宋_GB2312"/>
          <w:color w:val="auto"/>
          <w:sz w:val="28"/>
          <w:szCs w:val="28"/>
        </w:rPr>
        <w:t>件，其中涉企公证</w:t>
      </w:r>
      <w:r>
        <w:rPr>
          <w:rFonts w:hint="eastAsia" w:ascii="仿宋_GB2312" w:hAnsi="仿宋_GB2312" w:eastAsia="仿宋_GB2312" w:cs="仿宋_GB2312"/>
          <w:color w:val="auto"/>
          <w:sz w:val="28"/>
          <w:szCs w:val="28"/>
          <w:lang w:val="en-US" w:eastAsia="zh-CN"/>
        </w:rPr>
        <w:t>380</w:t>
      </w:r>
      <w:r>
        <w:rPr>
          <w:rFonts w:hint="eastAsia" w:ascii="仿宋_GB2312" w:hAnsi="仿宋_GB2312" w:eastAsia="仿宋_GB2312" w:cs="仿宋_GB2312"/>
          <w:color w:val="auto"/>
          <w:sz w:val="28"/>
          <w:szCs w:val="28"/>
        </w:rPr>
        <w:t>件、远程公证</w:t>
      </w:r>
      <w:r>
        <w:rPr>
          <w:rFonts w:hint="eastAsia" w:ascii="仿宋_GB2312" w:hAnsi="仿宋_GB2312" w:eastAsia="仿宋_GB2312" w:cs="仿宋_GB2312"/>
          <w:color w:val="auto"/>
          <w:sz w:val="28"/>
          <w:szCs w:val="28"/>
          <w:lang w:val="en-US" w:eastAsia="zh-CN"/>
        </w:rPr>
        <w:t>257</w:t>
      </w:r>
      <w:r>
        <w:rPr>
          <w:rFonts w:hint="eastAsia" w:ascii="仿宋_GB2312" w:hAnsi="仿宋_GB2312" w:eastAsia="仿宋_GB2312" w:cs="仿宋_GB2312"/>
          <w:color w:val="auto"/>
          <w:sz w:val="28"/>
          <w:szCs w:val="28"/>
        </w:rPr>
        <w:t>件。深化“1名村（居）法律顾问+N名法律明白人”机制，聘任村居法律顾问</w:t>
      </w:r>
      <w:r>
        <w:rPr>
          <w:rFonts w:hint="eastAsia" w:ascii="仿宋_GB2312" w:hAnsi="仿宋_GB2312" w:eastAsia="仿宋_GB2312" w:cs="仿宋_GB2312"/>
          <w:color w:val="auto"/>
          <w:sz w:val="28"/>
          <w:szCs w:val="28"/>
          <w:lang w:val="en-US" w:eastAsia="zh-CN"/>
        </w:rPr>
        <w:t>157</w:t>
      </w:r>
      <w:r>
        <w:rPr>
          <w:rFonts w:hint="eastAsia" w:ascii="仿宋_GB2312" w:hAnsi="仿宋_GB2312" w:eastAsia="仿宋_GB2312" w:cs="仿宋_GB2312"/>
          <w:color w:val="auto"/>
          <w:sz w:val="28"/>
          <w:szCs w:val="28"/>
        </w:rPr>
        <w:t>名，培育“法律明白人”</w:t>
      </w:r>
      <w:r>
        <w:rPr>
          <w:rFonts w:hint="eastAsia" w:ascii="仿宋_GB2312" w:hAnsi="仿宋_GB2312" w:eastAsia="仿宋_GB2312" w:cs="仿宋_GB2312"/>
          <w:color w:val="auto"/>
          <w:sz w:val="28"/>
          <w:szCs w:val="28"/>
          <w:lang w:val="en-US" w:eastAsia="zh-CN"/>
        </w:rPr>
        <w:t>2012</w:t>
      </w:r>
      <w:r>
        <w:rPr>
          <w:rFonts w:hint="eastAsia" w:ascii="仿宋_GB2312" w:hAnsi="仿宋_GB2312" w:eastAsia="仿宋_GB2312" w:cs="仿宋_GB2312"/>
          <w:color w:val="auto"/>
          <w:sz w:val="28"/>
          <w:szCs w:val="28"/>
        </w:rPr>
        <w:t>名，建成特色工作室17个</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服务时长超2万小时。开展“一月一主题”普法活动，打造“张謇法治文旅体验路线”。区内共有国家级民主法治示范村3个、省级示范村（社区）132个。</w:t>
      </w:r>
    </w:p>
    <w:p w14:paraId="756198F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三、存在的不足和原因</w:t>
      </w:r>
    </w:p>
    <w:p w14:paraId="7070218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2025年，全区法治政府建设工作虽取得阶段性成效，但仍存在</w:t>
      </w:r>
      <w:r>
        <w:rPr>
          <w:rFonts w:hint="eastAsia" w:ascii="仿宋_GB2312" w:hAnsi="仿宋_GB2312" w:eastAsia="仿宋_GB2312" w:cs="仿宋_GB2312"/>
          <w:color w:val="auto"/>
          <w:sz w:val="28"/>
          <w:szCs w:val="28"/>
          <w:lang w:eastAsia="zh-CN"/>
        </w:rPr>
        <w:t>弱项</w:t>
      </w:r>
      <w:r>
        <w:rPr>
          <w:rFonts w:hint="eastAsia" w:ascii="仿宋_GB2312" w:hAnsi="仿宋_GB2312" w:eastAsia="仿宋_GB2312" w:cs="仿宋_GB2312"/>
          <w:color w:val="auto"/>
          <w:sz w:val="28"/>
          <w:szCs w:val="28"/>
        </w:rPr>
        <w:t>短板：</w:t>
      </w:r>
      <w:r>
        <w:rPr>
          <w:rFonts w:hint="eastAsia" w:ascii="仿宋_GB2312" w:hAnsi="仿宋_GB2312" w:eastAsia="仿宋_GB2312" w:cs="仿宋_GB2312"/>
          <w:b/>
          <w:bCs/>
          <w:color w:val="auto"/>
          <w:sz w:val="28"/>
          <w:szCs w:val="28"/>
          <w:lang w:eastAsia="zh-CN"/>
        </w:rPr>
        <w:t>一是</w:t>
      </w:r>
      <w:r>
        <w:rPr>
          <w:rFonts w:hint="eastAsia" w:ascii="仿宋_GB2312" w:hAnsi="仿宋_GB2312" w:eastAsia="仿宋_GB2312" w:cs="仿宋_GB2312"/>
          <w:color w:val="auto"/>
          <w:sz w:val="28"/>
          <w:szCs w:val="28"/>
          <w:lang w:eastAsia="zh-CN"/>
        </w:rPr>
        <w:t>法治专业力量有待加强，基层法治队伍业务素质参差不齐，部分区镇（街道）、部门法治审核专业力量薄弱，队伍能力建设仍需不断加强。</w:t>
      </w:r>
      <w:r>
        <w:rPr>
          <w:rFonts w:hint="eastAsia" w:ascii="仿宋_GB2312" w:hAnsi="仿宋_GB2312" w:eastAsia="仿宋_GB2312" w:cs="仿宋_GB2312"/>
          <w:b/>
          <w:bCs/>
          <w:color w:val="auto"/>
          <w:sz w:val="28"/>
          <w:szCs w:val="28"/>
          <w:lang w:eastAsia="zh-CN"/>
        </w:rPr>
        <w:t>二是</w:t>
      </w:r>
      <w:r>
        <w:rPr>
          <w:rFonts w:hint="eastAsia" w:ascii="仿宋_GB2312" w:hAnsi="仿宋_GB2312" w:eastAsia="仿宋_GB2312" w:cs="仿宋_GB2312"/>
          <w:color w:val="auto"/>
          <w:sz w:val="28"/>
          <w:szCs w:val="28"/>
        </w:rPr>
        <w:t>依法行政程序意识有待提升</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部分部门在</w:t>
      </w:r>
      <w:r>
        <w:rPr>
          <w:rFonts w:hint="eastAsia" w:ascii="仿宋_GB2312" w:hAnsi="仿宋_GB2312" w:eastAsia="仿宋_GB2312" w:cs="仿宋_GB2312"/>
          <w:color w:val="auto"/>
          <w:sz w:val="28"/>
          <w:szCs w:val="28"/>
          <w:lang w:eastAsia="zh-CN"/>
        </w:rPr>
        <w:t>履职过程</w:t>
      </w:r>
      <w:r>
        <w:rPr>
          <w:rFonts w:hint="eastAsia" w:ascii="仿宋_GB2312" w:hAnsi="仿宋_GB2312" w:eastAsia="仿宋_GB2312" w:cs="仿宋_GB2312"/>
          <w:color w:val="auto"/>
          <w:sz w:val="28"/>
          <w:szCs w:val="28"/>
          <w:lang w:val="en-US" w:eastAsia="zh-CN"/>
        </w:rPr>
        <w:t>中片面</w:t>
      </w:r>
      <w:r>
        <w:rPr>
          <w:rFonts w:hint="eastAsia" w:ascii="仿宋_GB2312" w:hAnsi="仿宋_GB2312" w:eastAsia="仿宋_GB2312" w:cs="仿宋_GB2312"/>
          <w:color w:val="auto"/>
          <w:sz w:val="28"/>
          <w:szCs w:val="28"/>
        </w:rPr>
        <w:t>追求效率，存在“重实体、轻程序”的</w:t>
      </w:r>
      <w:r>
        <w:rPr>
          <w:rFonts w:hint="eastAsia" w:ascii="仿宋_GB2312" w:hAnsi="仿宋_GB2312" w:eastAsia="仿宋_GB2312" w:cs="仿宋_GB2312"/>
          <w:color w:val="auto"/>
          <w:sz w:val="28"/>
          <w:szCs w:val="28"/>
          <w:lang w:eastAsia="zh-CN"/>
        </w:rPr>
        <w:t>倾向</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因程序违法被行政复议纠错或行政诉讼败诉</w:t>
      </w:r>
      <w:r>
        <w:rPr>
          <w:rFonts w:hint="eastAsia" w:ascii="仿宋_GB2312" w:hAnsi="仿宋_GB2312" w:eastAsia="仿宋_GB2312" w:cs="仿宋_GB2312"/>
          <w:color w:val="auto"/>
          <w:sz w:val="28"/>
          <w:szCs w:val="28"/>
        </w:rPr>
        <w:t>仍占一定比例</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b/>
          <w:bCs/>
          <w:color w:val="auto"/>
          <w:sz w:val="28"/>
          <w:szCs w:val="28"/>
          <w:lang w:eastAsia="zh-CN"/>
        </w:rPr>
        <w:t>三是</w:t>
      </w:r>
      <w:r>
        <w:rPr>
          <w:rFonts w:hint="eastAsia" w:ascii="仿宋_GB2312" w:hAnsi="仿宋_GB2312" w:eastAsia="仿宋_GB2312" w:cs="仿宋_GB2312"/>
          <w:color w:val="auto"/>
          <w:sz w:val="28"/>
          <w:szCs w:val="28"/>
        </w:rPr>
        <w:t>群众法治获得感有待增强</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在运用法治方式解决群众急难愁盼问题、提升社会治理法治化水平方面仍有改进空间，部分民生领域的法治服务供给与群众期待存在差距。</w:t>
      </w:r>
    </w:p>
    <w:p w14:paraId="51E4B26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四、2026年度计划安排</w:t>
      </w:r>
    </w:p>
    <w:p w14:paraId="5B01B58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海门区将持续深化法治政府建设，为中国式现代化海门新实践提供坚实法治保障。</w:t>
      </w:r>
    </w:p>
    <w:p w14:paraId="65043AC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强化政治引领，把牢法治建设方向。深入学习党的二十届四中全会精神，深刻把握“十五五”发展导向，确保把党的领导贯彻到政府法治建设的各方面全过程。筑牢政治忠诚，坚持不懈用习近平新时代中国特色社会主义思想凝心铸魂；继续深化领导干部述职述法制度，压实法治建设“第一责任人”职责，严格抓好行政机关应复议应诉、司法建议反馈等工作，</w:t>
      </w:r>
      <w:r>
        <w:rPr>
          <w:rFonts w:hint="eastAsia" w:ascii="仿宋_GB2312" w:hAnsi="仿宋_GB2312" w:eastAsia="仿宋_GB2312" w:cs="仿宋_GB2312"/>
          <w:color w:val="auto"/>
          <w:sz w:val="28"/>
          <w:szCs w:val="28"/>
          <w:lang w:eastAsia="zh-CN"/>
        </w:rPr>
        <w:t>用</w:t>
      </w:r>
      <w:r>
        <w:rPr>
          <w:rFonts w:hint="eastAsia" w:ascii="仿宋_GB2312" w:hAnsi="仿宋_GB2312" w:eastAsia="仿宋_GB2312" w:cs="仿宋_GB2312"/>
          <w:color w:val="auto"/>
          <w:sz w:val="28"/>
          <w:szCs w:val="28"/>
        </w:rPr>
        <w:t>法治思维和法治方式</w:t>
      </w:r>
      <w:r>
        <w:rPr>
          <w:rFonts w:hint="eastAsia" w:ascii="仿宋_GB2312" w:hAnsi="仿宋_GB2312" w:eastAsia="仿宋_GB2312" w:cs="仿宋_GB2312"/>
          <w:color w:val="auto"/>
          <w:sz w:val="28"/>
          <w:szCs w:val="28"/>
          <w:lang w:eastAsia="zh-CN"/>
        </w:rPr>
        <w:t>推动</w:t>
      </w:r>
      <w:r>
        <w:rPr>
          <w:rFonts w:hint="eastAsia" w:ascii="仿宋_GB2312" w:hAnsi="仿宋_GB2312" w:eastAsia="仿宋_GB2312" w:cs="仿宋_GB2312"/>
          <w:color w:val="auto"/>
          <w:sz w:val="28"/>
          <w:szCs w:val="28"/>
        </w:rPr>
        <w:t>全区各项中心工作。</w:t>
      </w:r>
    </w:p>
    <w:p w14:paraId="192BC1C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严格依法行政，提升政府运行效能。严格规范重大行政决策程序，加强重大行政决策执行和后评估工作。完善行政事项法治审核前置机制，落实《省政府办公厅关于加强基层法治审核提升依法治理水平的实施意见》，推动镇（</w:t>
      </w:r>
      <w:r>
        <w:rPr>
          <w:rFonts w:hint="eastAsia" w:ascii="仿宋_GB2312" w:hAnsi="仿宋_GB2312" w:eastAsia="仿宋_GB2312" w:cs="仿宋_GB2312"/>
          <w:color w:val="auto"/>
          <w:sz w:val="28"/>
          <w:szCs w:val="28"/>
          <w:lang w:eastAsia="zh-CN"/>
        </w:rPr>
        <w:t>街道</w:t>
      </w:r>
      <w:r>
        <w:rPr>
          <w:rFonts w:hint="eastAsia" w:ascii="仿宋_GB2312" w:hAnsi="仿宋_GB2312" w:eastAsia="仿宋_GB2312" w:cs="仿宋_GB2312"/>
          <w:color w:val="auto"/>
          <w:sz w:val="28"/>
          <w:szCs w:val="28"/>
        </w:rPr>
        <w:t>）行政事项法治审核全覆盖，审核质效不断提升。全面落实《行政执法监督条例》，加快构建区镇两级行政执法协调监督体系</w:t>
      </w:r>
      <w:r>
        <w:rPr>
          <w:rFonts w:hint="eastAsia" w:ascii="仿宋_GB2312" w:hAnsi="仿宋_GB2312" w:eastAsia="仿宋_GB2312" w:cs="仿宋_GB2312"/>
          <w:color w:val="auto"/>
          <w:sz w:val="28"/>
          <w:szCs w:val="28"/>
          <w:lang w:eastAsia="zh-CN"/>
        </w:rPr>
        <w:t>，持续</w:t>
      </w:r>
      <w:r>
        <w:rPr>
          <w:rFonts w:hint="eastAsia" w:ascii="仿宋_GB2312" w:hAnsi="仿宋_GB2312" w:eastAsia="仿宋_GB2312" w:cs="仿宋_GB2312"/>
          <w:color w:val="auto"/>
          <w:sz w:val="28"/>
          <w:szCs w:val="28"/>
        </w:rPr>
        <w:t>提升行政执法人员法治素养，</w:t>
      </w:r>
      <w:r>
        <w:rPr>
          <w:rFonts w:hint="eastAsia" w:ascii="仿宋_GB2312" w:hAnsi="仿宋_GB2312" w:eastAsia="仿宋_GB2312" w:cs="仿宋_GB2312"/>
          <w:color w:val="auto"/>
          <w:sz w:val="28"/>
          <w:szCs w:val="28"/>
          <w:lang w:eastAsia="zh-CN"/>
        </w:rPr>
        <w:t>督促执法行为规范公正文明。</w:t>
      </w:r>
    </w:p>
    <w:p w14:paraId="15FC649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（三）优化营商环境，激发市场主体活力。牢固树立“法治是最好的营商环境”理念，推动市场主体从设立、变更到注销全流程手续简化、时限压缩</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成本降低，准入退出</w:t>
      </w:r>
      <w:r>
        <w:rPr>
          <w:rFonts w:hint="eastAsia" w:ascii="仿宋_GB2312" w:hAnsi="仿宋_GB2312" w:eastAsia="仿宋_GB2312" w:cs="仿宋_GB2312"/>
          <w:color w:val="auto"/>
          <w:sz w:val="28"/>
          <w:szCs w:val="28"/>
          <w:lang w:eastAsia="zh-CN"/>
        </w:rPr>
        <w:t>更</w:t>
      </w:r>
      <w:r>
        <w:rPr>
          <w:rFonts w:hint="eastAsia" w:ascii="仿宋_GB2312" w:hAnsi="仿宋_GB2312" w:eastAsia="仿宋_GB2312" w:cs="仿宋_GB2312"/>
          <w:color w:val="auto"/>
          <w:sz w:val="28"/>
          <w:szCs w:val="28"/>
        </w:rPr>
        <w:t>便捷高效</w:t>
      </w:r>
      <w:r>
        <w:rPr>
          <w:rFonts w:hint="eastAsia" w:ascii="仿宋_GB2312" w:hAnsi="仿宋_GB2312" w:eastAsia="仿宋_GB2312" w:cs="仿宋_GB2312"/>
          <w:color w:val="auto"/>
          <w:sz w:val="28"/>
          <w:szCs w:val="28"/>
          <w:lang w:eastAsia="zh-CN"/>
        </w:rPr>
        <w:t>。深化“互联网+监管”，全面推行非现场监管、信用风险分类监管。建立健全对网</w:t>
      </w:r>
      <w:r>
        <w:rPr>
          <w:rFonts w:hint="eastAsia" w:ascii="仿宋_GB2312" w:hAnsi="仿宋_GB2312" w:eastAsia="仿宋_GB2312" w:cs="仿宋_GB2312"/>
          <w:color w:val="auto"/>
          <w:sz w:val="28"/>
          <w:szCs w:val="28"/>
        </w:rPr>
        <w:t>络交易平台、直播带货等</w:t>
      </w:r>
      <w:r>
        <w:rPr>
          <w:rFonts w:hint="eastAsia" w:ascii="仿宋_GB2312" w:hAnsi="仿宋_GB2312" w:eastAsia="仿宋_GB2312" w:cs="仿宋_GB2312"/>
          <w:color w:val="auto"/>
          <w:sz w:val="28"/>
          <w:szCs w:val="28"/>
          <w:lang w:eastAsia="zh-CN"/>
        </w:rPr>
        <w:t>新产业、新业态的监管框架，激发市场创新活力与内生动力</w:t>
      </w:r>
      <w:r>
        <w:rPr>
          <w:rFonts w:hint="eastAsia" w:ascii="仿宋_GB2312" w:hAnsi="仿宋_GB2312" w:eastAsia="仿宋_GB2312" w:cs="仿宋_GB2312"/>
          <w:color w:val="auto"/>
          <w:sz w:val="28"/>
          <w:szCs w:val="28"/>
        </w:rPr>
        <w:t>。持续深化涉企行政执法“综合查一次”改革，持续扩大“执法有度·企码无忧”行政监管码覆盖面。</w:t>
      </w:r>
    </w:p>
    <w:p w14:paraId="0D8DC75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深化社会治理，筑牢依法治区根基。坚持和发展新时代“枫桥经验”，完善三级调解体系，运用“组团式服务”模式高效化解矛盾纠纷。充分发挥行政复议化解行政争议的主渠道作用，推动行政争议实质性化解。严格落实“谁执法谁普法”责任制，持续深化民主法治示范村（社区）建设，着力营造全社会自觉守法、遇事找法、解决问题用法、化解矛盾靠法的良好法治环境。</w:t>
      </w:r>
    </w:p>
    <w:p w14:paraId="53833114">
      <w:pPr>
        <w:keepNext w:val="0"/>
        <w:keepLines w:val="0"/>
        <w:pageBreakBefore w:val="0"/>
        <w:widowControl w:val="0"/>
        <w:kinsoku/>
        <w:wordWrap/>
        <w:topLinePunct w:val="0"/>
        <w:bidi w:val="0"/>
        <w:spacing w:line="400" w:lineRule="exact"/>
        <w:ind w:left="0" w:leftChars="0" w:right="0" w:rightChars="0" w:firstLine="560" w:firstLineChars="200"/>
        <w:jc w:val="right"/>
        <w:textAlignment w:val="auto"/>
        <w:rPr>
          <w:rFonts w:hint="eastAsia" w:ascii="仿宋_GB2312" w:hAnsi="仿宋_GB2312" w:eastAsia="仿宋_GB2312" w:cs="仿宋_GB2312"/>
          <w:sz w:val="28"/>
          <w:szCs w:val="28"/>
        </w:rPr>
      </w:pPr>
    </w:p>
    <w:p w14:paraId="4FEDBAB5">
      <w:pPr>
        <w:keepNext w:val="0"/>
        <w:keepLines w:val="0"/>
        <w:pageBreakBefore w:val="0"/>
        <w:widowControl w:val="0"/>
        <w:kinsoku/>
        <w:wordWrap/>
        <w:topLinePunct w:val="0"/>
        <w:bidi w:val="0"/>
        <w:spacing w:line="400" w:lineRule="exact"/>
        <w:ind w:left="0" w:leftChars="0" w:right="0" w:rightChars="0" w:firstLine="560" w:firstLineChars="200"/>
        <w:jc w:val="right"/>
        <w:textAlignment w:val="auto"/>
        <w:rPr>
          <w:rFonts w:hint="eastAsia" w:ascii="仿宋_GB2312" w:hAnsi="仿宋_GB2312" w:eastAsia="仿宋_GB2312" w:cs="仿宋_GB2312"/>
          <w:sz w:val="28"/>
          <w:szCs w:val="28"/>
        </w:rPr>
      </w:pPr>
    </w:p>
    <w:p w14:paraId="1233BB85">
      <w:pPr>
        <w:keepNext w:val="0"/>
        <w:keepLines w:val="0"/>
        <w:pageBreakBefore w:val="0"/>
        <w:widowControl w:val="0"/>
        <w:kinsoku/>
        <w:wordWrap/>
        <w:topLinePunct w:val="0"/>
        <w:bidi w:val="0"/>
        <w:spacing w:line="400" w:lineRule="exact"/>
        <w:ind w:left="0" w:leftChars="0" w:right="0" w:rightChars="0" w:firstLine="560" w:firstLineChars="20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南通市海门区人民政府</w:t>
      </w:r>
    </w:p>
    <w:p w14:paraId="68F29BD3">
      <w:pPr>
        <w:keepNext w:val="0"/>
        <w:keepLines w:val="0"/>
        <w:pageBreakBefore w:val="0"/>
        <w:widowControl w:val="0"/>
        <w:kinsoku/>
        <w:wordWrap/>
        <w:topLinePunct w:val="0"/>
        <w:bidi w:val="0"/>
        <w:adjustRightInd w:val="0"/>
        <w:spacing w:line="400" w:lineRule="exact"/>
        <w:ind w:left="0" w:leftChars="0" w:right="0" w:rightChars="0" w:firstLine="560" w:firstLineChars="20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16</w:t>
      </w:r>
      <w:r>
        <w:rPr>
          <w:rFonts w:hint="eastAsia" w:ascii="仿宋_GB2312" w:hAnsi="仿宋_GB2312" w:eastAsia="仿宋_GB2312" w:cs="仿宋_GB2312"/>
          <w:sz w:val="28"/>
          <w:szCs w:val="28"/>
        </w:rPr>
        <w:t>日</w:t>
      </w:r>
    </w:p>
    <w:p w14:paraId="1179B3E4">
      <w:pPr>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textAlignment w:val="auto"/>
        <w:rPr>
          <w:rFonts w:hint="eastAsia" w:ascii="华文新魏" w:hAnsi="宋体" w:eastAsia="华文新魏" w:cs="宋体"/>
          <w:kern w:val="0"/>
          <w:sz w:val="48"/>
          <w:szCs w:val="48"/>
          <w:bdr w:val="wave" w:color="auto" w:sz="6" w:space="0"/>
        </w:rPr>
      </w:pPr>
    </w:p>
    <w:p w14:paraId="6768494E">
      <w:pPr>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textAlignment w:val="auto"/>
        <w:rPr>
          <w:rFonts w:hint="eastAsia" w:ascii="华文新魏" w:hAnsi="宋体" w:eastAsia="华文新魏" w:cs="宋体"/>
          <w:kern w:val="0"/>
          <w:sz w:val="48"/>
          <w:szCs w:val="48"/>
          <w:bdr w:val="wave" w:color="auto" w:sz="6" w:space="0"/>
        </w:rPr>
      </w:pPr>
    </w:p>
    <w:p w14:paraId="618F5A3E">
      <w:pPr>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textAlignment w:val="auto"/>
        <w:rPr>
          <w:rFonts w:hint="eastAsia" w:ascii="华文新魏" w:hAnsi="宋体" w:eastAsia="华文新魏" w:cs="宋体"/>
          <w:kern w:val="0"/>
          <w:sz w:val="48"/>
          <w:szCs w:val="48"/>
          <w:bdr w:val="wave" w:color="auto" w:sz="6" w:space="0"/>
        </w:rPr>
      </w:pPr>
    </w:p>
    <w:p w14:paraId="5B5210D2">
      <w:pPr>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textAlignment w:val="auto"/>
        <w:rPr>
          <w:rFonts w:hint="eastAsia" w:ascii="华文新魏" w:hAnsi="宋体" w:eastAsia="华文新魏" w:cs="宋体"/>
          <w:kern w:val="0"/>
          <w:sz w:val="48"/>
          <w:szCs w:val="48"/>
          <w:bdr w:val="wave" w:color="auto" w:sz="6" w:space="0"/>
        </w:rPr>
      </w:pPr>
    </w:p>
    <w:p w14:paraId="11E0F05C">
      <w:pPr>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textAlignment w:val="auto"/>
        <w:rPr>
          <w:rFonts w:hint="eastAsia" w:ascii="华文新魏" w:hAnsi="宋体" w:eastAsia="华文新魏" w:cs="宋体"/>
          <w:kern w:val="0"/>
          <w:sz w:val="48"/>
          <w:szCs w:val="48"/>
          <w:bdr w:val="wave" w:color="auto" w:sz="6" w:space="0"/>
        </w:rPr>
      </w:pPr>
    </w:p>
    <w:p w14:paraId="4500A56E">
      <w:pPr>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textAlignment w:val="auto"/>
        <w:rPr>
          <w:rFonts w:hint="eastAsia" w:ascii="华文新魏" w:hAnsi="宋体" w:eastAsia="华文新魏" w:cs="宋体"/>
          <w:kern w:val="0"/>
          <w:sz w:val="48"/>
          <w:szCs w:val="48"/>
          <w:bdr w:val="wave" w:color="auto" w:sz="6" w:space="0"/>
        </w:rPr>
      </w:pPr>
    </w:p>
    <w:p w14:paraId="701BE869">
      <w:pPr>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textAlignment w:val="auto"/>
        <w:rPr>
          <w:rFonts w:hint="eastAsia" w:ascii="华文新魏" w:hAnsi="宋体" w:eastAsia="华文新魏" w:cs="宋体"/>
          <w:kern w:val="0"/>
          <w:sz w:val="48"/>
          <w:szCs w:val="48"/>
          <w:bdr w:val="wave" w:color="auto" w:sz="6" w:space="0"/>
        </w:rPr>
      </w:pPr>
    </w:p>
    <w:p w14:paraId="52DC5879">
      <w:pPr>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textAlignment w:val="auto"/>
        <w:rPr>
          <w:rFonts w:hint="eastAsia" w:ascii="华文新魏" w:hAnsi="宋体" w:eastAsia="华文新魏" w:cs="宋体"/>
          <w:kern w:val="0"/>
          <w:sz w:val="48"/>
          <w:szCs w:val="48"/>
          <w:bdr w:val="wave" w:color="auto" w:sz="6" w:space="0"/>
        </w:rPr>
      </w:pPr>
    </w:p>
    <w:p w14:paraId="57F634D0">
      <w:pPr>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textAlignment w:val="auto"/>
        <w:rPr>
          <w:rFonts w:hint="eastAsia" w:ascii="华文新魏" w:hAnsi="宋体" w:eastAsia="华文新魏" w:cs="宋体"/>
          <w:kern w:val="0"/>
          <w:sz w:val="48"/>
          <w:szCs w:val="48"/>
          <w:bdr w:val="wave" w:color="auto" w:sz="6" w:space="0"/>
        </w:rPr>
      </w:pPr>
    </w:p>
    <w:p w14:paraId="687BD0EC">
      <w:pPr>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textAlignment w:val="auto"/>
        <w:rPr>
          <w:rFonts w:hint="eastAsia" w:ascii="仿宋_GB2312" w:hAnsi="仿宋_GB2312" w:eastAsia="仿宋_GB2312" w:cs="仿宋_GB2312"/>
          <w:sz w:val="28"/>
          <w:szCs w:val="28"/>
        </w:rPr>
      </w:pPr>
      <w:r>
        <w:rPr>
          <w:rFonts w:hint="eastAsia" w:ascii="华文新魏" w:hAnsi="宋体" w:eastAsia="华文新魏" w:cs="宋体"/>
          <w:kern w:val="0"/>
          <w:sz w:val="48"/>
          <w:szCs w:val="48"/>
          <w:bdr w:val="wave" w:color="auto" w:sz="6" w:space="0"/>
        </w:rPr>
        <w:t>人事任免</w:t>
      </w:r>
    </w:p>
    <w:p w14:paraId="7B2C9AC2">
      <w:pPr>
        <w:pStyle w:val="14"/>
        <w:keepNext w:val="0"/>
        <w:keepLines w:val="0"/>
        <w:pageBreakBefore w:val="0"/>
        <w:widowControl w:val="0"/>
        <w:kinsoku/>
        <w:wordWrap/>
        <w:overflowPunct/>
        <w:topLinePunct w:val="0"/>
        <w:bidi w:val="0"/>
        <w:snapToGrid w:val="0"/>
        <w:spacing w:line="400" w:lineRule="exact"/>
        <w:ind w:left="0" w:right="0" w:rightChars="0" w:firstLine="560" w:firstLineChars="200"/>
        <w:jc w:val="both"/>
        <w:textAlignment w:val="auto"/>
        <w:rPr>
          <w:rFonts w:hint="eastAsia" w:ascii="仿宋_GB2312" w:hAnsi="仿宋_GB2312" w:eastAsia="仿宋_GB2312" w:cs="仿宋_GB2312"/>
          <w:sz w:val="28"/>
          <w:szCs w:val="28"/>
        </w:rPr>
      </w:pPr>
    </w:p>
    <w:p w14:paraId="27325451">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区政</w:t>
      </w:r>
      <w:r>
        <w:rPr>
          <w:rFonts w:hint="eastAsia" w:ascii="方正小标宋_GBK" w:hAnsi="方正小标宋_GBK" w:eastAsia="方正小标宋_GBK" w:cs="方正小标宋_GBK"/>
          <w:sz w:val="32"/>
          <w:szCs w:val="32"/>
          <w:lang w:val="en-US" w:eastAsia="zh-CN"/>
        </w:rPr>
        <w:t>府关于贲驰、宋民</w:t>
      </w:r>
      <w:r>
        <w:rPr>
          <w:rFonts w:hint="eastAsia" w:ascii="方正小标宋_GBK" w:hAnsi="方正小标宋_GBK" w:eastAsia="方正小标宋_GBK" w:cs="方正小标宋_GBK"/>
          <w:sz w:val="32"/>
          <w:szCs w:val="32"/>
        </w:rPr>
        <w:t>同志</w:t>
      </w:r>
      <w:r>
        <w:rPr>
          <w:rFonts w:hint="eastAsia" w:ascii="方正小标宋_GBK" w:hAnsi="方正小标宋_GBK" w:eastAsia="方正小标宋_GBK" w:cs="方正小标宋_GBK"/>
          <w:sz w:val="32"/>
          <w:szCs w:val="32"/>
          <w:lang w:val="en-US" w:eastAsia="zh-CN"/>
        </w:rPr>
        <w:t>职务任免</w:t>
      </w:r>
      <w:r>
        <w:rPr>
          <w:rFonts w:hint="eastAsia" w:ascii="方正小标宋_GBK" w:hAnsi="方正小标宋_GBK" w:eastAsia="方正小标宋_GBK" w:cs="方正小标宋_GBK"/>
          <w:sz w:val="32"/>
          <w:szCs w:val="32"/>
        </w:rPr>
        <w:t>的通知</w:t>
      </w:r>
    </w:p>
    <w:p w14:paraId="45BB86B0">
      <w:pPr>
        <w:keepNext w:val="0"/>
        <w:keepLines w:val="0"/>
        <w:pageBreakBefore w:val="0"/>
        <w:widowControl w:val="0"/>
        <w:tabs>
          <w:tab w:val="left" w:pos="2205"/>
          <w:tab w:val="center" w:pos="4422"/>
          <w:tab w:val="left" w:pos="8364"/>
        </w:tabs>
        <w:kinsoku/>
        <w:wordWrap/>
        <w:overflowPunct/>
        <w:topLinePunct w:val="0"/>
        <w:bidi w:val="0"/>
        <w:spacing w:line="400" w:lineRule="exact"/>
        <w:ind w:right="0" w:rightChars="0"/>
        <w:jc w:val="left"/>
        <w:textAlignment w:val="auto"/>
        <w:rPr>
          <w:rFonts w:hint="eastAsia" w:ascii="仿宋_GB2312" w:hAnsi="仿宋_GB2312" w:eastAsia="仿宋_GB2312" w:cs="仿宋_GB2312"/>
          <w:sz w:val="28"/>
          <w:szCs w:val="28"/>
        </w:rPr>
      </w:pPr>
    </w:p>
    <w:p w14:paraId="79AD3850">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海政干〔20</w:t>
      </w:r>
      <w:r>
        <w:rPr>
          <w:rFonts w:hint="eastAsia" w:ascii="楷体_GB2312" w:hAnsi="楷体_GB2312" w:eastAsia="楷体_GB2312" w:cs="楷体_GB2312"/>
          <w:sz w:val="28"/>
          <w:szCs w:val="28"/>
          <w:lang w:val="en-US" w:eastAsia="zh-CN"/>
        </w:rPr>
        <w:t>26</w:t>
      </w:r>
      <w:r>
        <w:rPr>
          <w:rFonts w:hint="eastAsia" w:ascii="楷体_GB2312" w:hAnsi="楷体_GB2312" w:eastAsia="楷体_GB2312" w:cs="楷体_GB2312"/>
          <w:sz w:val="28"/>
          <w:szCs w:val="28"/>
        </w:rPr>
        <w:t>〕</w:t>
      </w:r>
      <w:r>
        <w:rPr>
          <w:rFonts w:hint="eastAsia" w:ascii="楷体_GB2312" w:hAnsi="楷体_GB2312" w:eastAsia="楷体_GB2312" w:cs="楷体_GB2312"/>
          <w:sz w:val="28"/>
          <w:szCs w:val="28"/>
          <w:lang w:val="en-US" w:eastAsia="zh-CN"/>
        </w:rPr>
        <w:t>3</w:t>
      </w:r>
      <w:r>
        <w:rPr>
          <w:rFonts w:hint="eastAsia" w:ascii="楷体_GB2312" w:hAnsi="楷体_GB2312" w:eastAsia="楷体_GB2312" w:cs="楷体_GB2312"/>
          <w:sz w:val="28"/>
          <w:szCs w:val="28"/>
        </w:rPr>
        <w:t>号</w:t>
      </w:r>
    </w:p>
    <w:p w14:paraId="24C977CE">
      <w:pPr>
        <w:keepNext w:val="0"/>
        <w:keepLines w:val="0"/>
        <w:pageBreakBefore w:val="0"/>
        <w:widowControl w:val="0"/>
        <w:kinsoku/>
        <w:wordWrap/>
        <w:overflowPunct/>
        <w:topLinePunct w:val="0"/>
        <w:autoSpaceDE/>
        <w:autoSpaceDN/>
        <w:bidi w:val="0"/>
        <w:adjustRightInd/>
        <w:snapToGrid/>
        <w:spacing w:line="400" w:lineRule="exact"/>
        <w:ind w:left="0" w:right="0" w:rightChars="0" w:firstLine="560" w:firstLineChars="200"/>
        <w:jc w:val="both"/>
        <w:textAlignment w:val="auto"/>
        <w:rPr>
          <w:rFonts w:hint="eastAsia" w:ascii="仿宋_GB2312" w:hAnsi="仿宋_GB2312" w:eastAsia="仿宋_GB2312" w:cs="仿宋_GB2312"/>
          <w:sz w:val="28"/>
          <w:szCs w:val="28"/>
        </w:rPr>
      </w:pPr>
    </w:p>
    <w:p w14:paraId="21C18567">
      <w:pPr>
        <w:pStyle w:val="16"/>
        <w:keepNext w:val="0"/>
        <w:keepLines w:val="0"/>
        <w:pageBreakBefore w:val="0"/>
        <w:widowControl w:val="0"/>
        <w:kinsoku/>
        <w:wordWrap/>
        <w:overflowPunct/>
        <w:topLinePunct w:val="0"/>
        <w:bidi w:val="0"/>
        <w:snapToGrid w:val="0"/>
        <w:spacing w:line="400" w:lineRule="exact"/>
        <w:ind w:right="0" w:rightChars="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各区镇（街道）政府（管委会、办事处）、区各委办局、区各直属单位、各垂直管理部门（单位）：</w:t>
      </w:r>
    </w:p>
    <w:p w14:paraId="1AA3E835">
      <w:pPr>
        <w:pStyle w:val="16"/>
        <w:keepNext w:val="0"/>
        <w:keepLines w:val="0"/>
        <w:pageBreakBefore w:val="0"/>
        <w:widowControl w:val="0"/>
        <w:kinsoku/>
        <w:wordWrap/>
        <w:overflowPunct/>
        <w:topLinePunct w:val="0"/>
        <w:autoSpaceDE w:val="0"/>
        <w:autoSpaceDN w:val="0"/>
        <w:bidi w:val="0"/>
        <w:adjustRightInd w:val="0"/>
        <w:snapToGrid w:val="0"/>
        <w:spacing w:line="400" w:lineRule="exact"/>
        <w:ind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根据</w:t>
      </w:r>
      <w:r>
        <w:rPr>
          <w:rFonts w:hint="eastAsia" w:ascii="仿宋_GB2312" w:hAnsi="仿宋_GB2312" w:eastAsia="仿宋_GB2312" w:cs="仿宋_GB2312"/>
          <w:color w:val="000000"/>
          <w:sz w:val="28"/>
          <w:szCs w:val="28"/>
        </w:rPr>
        <w:t>海门区第十八届人大常委会第</w:t>
      </w:r>
      <w:r>
        <w:rPr>
          <w:rFonts w:hint="eastAsia" w:ascii="仿宋_GB2312" w:hAnsi="仿宋_GB2312" w:eastAsia="仿宋_GB2312" w:cs="仿宋_GB2312"/>
          <w:color w:val="000000"/>
          <w:sz w:val="28"/>
          <w:szCs w:val="28"/>
          <w:lang w:val="en-US" w:eastAsia="zh-CN"/>
        </w:rPr>
        <w:t>四十三</w:t>
      </w:r>
      <w:r>
        <w:rPr>
          <w:rFonts w:hint="eastAsia" w:ascii="仿宋_GB2312" w:hAnsi="仿宋_GB2312" w:eastAsia="仿宋_GB2312" w:cs="仿宋_GB2312"/>
          <w:color w:val="000000"/>
          <w:sz w:val="28"/>
          <w:szCs w:val="28"/>
        </w:rPr>
        <w:t>次会议决定：</w:t>
      </w:r>
    </w:p>
    <w:p w14:paraId="05D256CB">
      <w:pPr>
        <w:pStyle w:val="16"/>
        <w:keepNext w:val="0"/>
        <w:keepLines w:val="0"/>
        <w:pageBreakBefore w:val="0"/>
        <w:widowControl w:val="0"/>
        <w:kinsoku/>
        <w:wordWrap/>
        <w:overflowPunct/>
        <w:topLinePunct w:val="0"/>
        <w:autoSpaceDE w:val="0"/>
        <w:autoSpaceDN w:val="0"/>
        <w:bidi w:val="0"/>
        <w:adjustRightInd w:val="0"/>
        <w:snapToGrid w:val="0"/>
        <w:spacing w:line="400" w:lineRule="exact"/>
        <w:ind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贲驰</w:t>
      </w:r>
      <w:r>
        <w:rPr>
          <w:rFonts w:hint="eastAsia" w:ascii="仿宋_GB2312" w:hAnsi="仿宋_GB2312" w:eastAsia="仿宋_GB2312" w:cs="仿宋_GB2312"/>
          <w:color w:val="000000"/>
          <w:sz w:val="28"/>
          <w:szCs w:val="28"/>
        </w:rPr>
        <w:t>同志任</w:t>
      </w:r>
      <w:r>
        <w:rPr>
          <w:rFonts w:hint="eastAsia" w:ascii="仿宋_GB2312" w:hAnsi="仿宋_GB2312" w:eastAsia="仿宋_GB2312" w:cs="仿宋_GB2312"/>
          <w:color w:val="000000"/>
          <w:sz w:val="28"/>
          <w:szCs w:val="28"/>
          <w:lang w:val="en-US" w:eastAsia="zh-CN"/>
        </w:rPr>
        <w:t>南通市公安局海门分局局长</w:t>
      </w:r>
      <w:r>
        <w:rPr>
          <w:rFonts w:hint="eastAsia" w:ascii="仿宋_GB2312" w:hAnsi="仿宋_GB2312" w:eastAsia="仿宋_GB2312" w:cs="仿宋_GB2312"/>
          <w:color w:val="000000"/>
          <w:sz w:val="28"/>
          <w:szCs w:val="28"/>
        </w:rPr>
        <w:t>；</w:t>
      </w:r>
    </w:p>
    <w:p w14:paraId="498AC822">
      <w:pPr>
        <w:pStyle w:val="16"/>
        <w:keepNext w:val="0"/>
        <w:keepLines w:val="0"/>
        <w:pageBreakBefore w:val="0"/>
        <w:widowControl w:val="0"/>
        <w:kinsoku/>
        <w:wordWrap/>
        <w:overflowPunct/>
        <w:topLinePunct w:val="0"/>
        <w:autoSpaceDE w:val="0"/>
        <w:autoSpaceDN w:val="0"/>
        <w:bidi w:val="0"/>
        <w:adjustRightInd w:val="0"/>
        <w:snapToGrid w:val="0"/>
        <w:spacing w:line="400" w:lineRule="exact"/>
        <w:ind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免去</w:t>
      </w:r>
      <w:r>
        <w:rPr>
          <w:rFonts w:hint="eastAsia" w:ascii="仿宋_GB2312" w:hAnsi="仿宋_GB2312" w:eastAsia="仿宋_GB2312" w:cs="仿宋_GB2312"/>
          <w:color w:val="000000"/>
          <w:sz w:val="28"/>
          <w:szCs w:val="28"/>
          <w:lang w:val="en-US" w:eastAsia="zh-CN"/>
        </w:rPr>
        <w:t>宋民</w:t>
      </w:r>
      <w:r>
        <w:rPr>
          <w:rFonts w:hint="eastAsia" w:ascii="仿宋_GB2312" w:hAnsi="仿宋_GB2312" w:eastAsia="仿宋_GB2312" w:cs="仿宋_GB2312"/>
          <w:color w:val="000000"/>
          <w:sz w:val="28"/>
          <w:szCs w:val="28"/>
        </w:rPr>
        <w:t>同志</w:t>
      </w:r>
      <w:r>
        <w:rPr>
          <w:rFonts w:hint="eastAsia" w:ascii="仿宋_GB2312" w:hAnsi="仿宋_GB2312" w:eastAsia="仿宋_GB2312" w:cs="仿宋_GB2312"/>
          <w:color w:val="000000"/>
          <w:sz w:val="28"/>
          <w:szCs w:val="28"/>
          <w:lang w:val="en-US" w:eastAsia="zh-CN"/>
        </w:rPr>
        <w:t>南通市海门区公安局局长</w:t>
      </w:r>
      <w:r>
        <w:rPr>
          <w:rFonts w:hint="eastAsia" w:ascii="仿宋_GB2312" w:hAnsi="仿宋_GB2312" w:eastAsia="仿宋_GB2312" w:cs="仿宋_GB2312"/>
          <w:color w:val="000000"/>
          <w:sz w:val="28"/>
          <w:szCs w:val="28"/>
        </w:rPr>
        <w:t>职务。</w:t>
      </w:r>
    </w:p>
    <w:p w14:paraId="6E6545AB">
      <w:pPr>
        <w:pStyle w:val="16"/>
        <w:keepNext w:val="0"/>
        <w:keepLines w:val="0"/>
        <w:pageBreakBefore w:val="0"/>
        <w:widowControl w:val="0"/>
        <w:kinsoku/>
        <w:wordWrap/>
        <w:overflowPunct/>
        <w:topLinePunct w:val="0"/>
        <w:bidi w:val="0"/>
        <w:snapToGrid w:val="0"/>
        <w:spacing w:line="400" w:lineRule="exact"/>
        <w:ind w:right="0" w:rightChars="0"/>
        <w:jc w:val="both"/>
        <w:textAlignment w:val="auto"/>
        <w:rPr>
          <w:rFonts w:hint="eastAsia" w:ascii="仿宋_GB2312" w:hAnsi="仿宋_GB2312" w:eastAsia="仿宋_GB2312" w:cs="仿宋_GB2312"/>
          <w:color w:val="000000"/>
          <w:sz w:val="28"/>
          <w:szCs w:val="28"/>
        </w:rPr>
      </w:pPr>
    </w:p>
    <w:p w14:paraId="5498709F">
      <w:pPr>
        <w:pStyle w:val="16"/>
        <w:keepNext w:val="0"/>
        <w:keepLines w:val="0"/>
        <w:pageBreakBefore w:val="0"/>
        <w:widowControl w:val="0"/>
        <w:kinsoku/>
        <w:wordWrap/>
        <w:overflowPunct/>
        <w:topLinePunct w:val="0"/>
        <w:bidi w:val="0"/>
        <w:snapToGrid w:val="0"/>
        <w:spacing w:line="400" w:lineRule="exact"/>
        <w:ind w:right="0" w:rightChars="0"/>
        <w:jc w:val="both"/>
        <w:textAlignment w:val="auto"/>
        <w:rPr>
          <w:rFonts w:hint="eastAsia" w:ascii="仿宋_GB2312" w:hAnsi="仿宋_GB2312" w:eastAsia="仿宋_GB2312" w:cs="仿宋_GB2312"/>
          <w:color w:val="000000"/>
          <w:sz w:val="28"/>
          <w:szCs w:val="28"/>
        </w:rPr>
      </w:pPr>
    </w:p>
    <w:p w14:paraId="51D3DF94">
      <w:pPr>
        <w:pStyle w:val="16"/>
        <w:keepNext w:val="0"/>
        <w:keepLines w:val="0"/>
        <w:pageBreakBefore w:val="0"/>
        <w:widowControl w:val="0"/>
        <w:kinsoku/>
        <w:wordWrap/>
        <w:overflowPunct/>
        <w:topLinePunct w:val="0"/>
        <w:bidi w:val="0"/>
        <w:snapToGrid w:val="0"/>
        <w:spacing w:line="400" w:lineRule="exact"/>
        <w:ind w:right="0" w:rightChars="0"/>
        <w:jc w:val="righ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南通市海门区人民政府</w:t>
      </w:r>
    </w:p>
    <w:p w14:paraId="1E640128">
      <w:pPr>
        <w:pStyle w:val="16"/>
        <w:keepNext w:val="0"/>
        <w:keepLines w:val="0"/>
        <w:pageBreakBefore w:val="0"/>
        <w:widowControl w:val="0"/>
        <w:kinsoku/>
        <w:wordWrap/>
        <w:overflowPunct/>
        <w:topLinePunct w:val="0"/>
        <w:bidi w:val="0"/>
        <w:snapToGrid w:val="0"/>
        <w:spacing w:line="400" w:lineRule="exact"/>
        <w:ind w:right="0" w:rightChars="0"/>
        <w:jc w:val="righ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2026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11</w:t>
      </w:r>
      <w:r>
        <w:rPr>
          <w:rFonts w:hint="eastAsia" w:ascii="仿宋_GB2312" w:hAnsi="仿宋_GB2312" w:eastAsia="仿宋_GB2312" w:cs="仿宋_GB2312"/>
          <w:color w:val="000000"/>
          <w:sz w:val="28"/>
          <w:szCs w:val="28"/>
        </w:rPr>
        <w:t>日</w:t>
      </w:r>
    </w:p>
    <w:p w14:paraId="09EB0E60">
      <w:pPr>
        <w:pStyle w:val="16"/>
        <w:keepNext w:val="0"/>
        <w:keepLines w:val="0"/>
        <w:pageBreakBefore w:val="0"/>
        <w:widowControl w:val="0"/>
        <w:kinsoku/>
        <w:wordWrap/>
        <w:overflowPunct/>
        <w:topLinePunct w:val="0"/>
        <w:bidi w:val="0"/>
        <w:snapToGrid w:val="0"/>
        <w:spacing w:line="400" w:lineRule="exact"/>
        <w:ind w:right="0" w:rightChars="0"/>
        <w:jc w:val="both"/>
        <w:textAlignment w:val="auto"/>
        <w:rPr>
          <w:rFonts w:hint="eastAsia" w:ascii="仿宋_GB2312" w:hAnsi="仿宋_GB2312" w:eastAsia="仿宋_GB2312" w:cs="仿宋_GB2312"/>
          <w:color w:val="000000"/>
          <w:sz w:val="28"/>
          <w:szCs w:val="28"/>
        </w:rPr>
      </w:pPr>
    </w:p>
    <w:p w14:paraId="11AF3A03">
      <w:pPr>
        <w:pStyle w:val="16"/>
        <w:keepNext w:val="0"/>
        <w:keepLines w:val="0"/>
        <w:pageBreakBefore w:val="0"/>
        <w:widowControl w:val="0"/>
        <w:kinsoku/>
        <w:wordWrap/>
        <w:overflowPunct/>
        <w:topLinePunct w:val="0"/>
        <w:bidi w:val="0"/>
        <w:snapToGrid w:val="0"/>
        <w:spacing w:line="400" w:lineRule="exact"/>
        <w:ind w:right="0" w:rightChars="0"/>
        <w:jc w:val="both"/>
        <w:textAlignment w:val="auto"/>
        <w:rPr>
          <w:rFonts w:hint="eastAsia" w:ascii="仿宋_GB2312" w:hAnsi="仿宋_GB2312" w:eastAsia="仿宋_GB2312" w:cs="仿宋_GB2312"/>
          <w:color w:val="000000"/>
          <w:sz w:val="28"/>
          <w:szCs w:val="28"/>
        </w:rPr>
      </w:pPr>
    </w:p>
    <w:p w14:paraId="773F4C12">
      <w:pPr>
        <w:pStyle w:val="16"/>
        <w:keepNext w:val="0"/>
        <w:keepLines w:val="0"/>
        <w:pageBreakBefore w:val="0"/>
        <w:widowControl w:val="0"/>
        <w:kinsoku/>
        <w:wordWrap/>
        <w:overflowPunct/>
        <w:topLinePunct w:val="0"/>
        <w:bidi w:val="0"/>
        <w:snapToGrid w:val="0"/>
        <w:spacing w:line="400" w:lineRule="exact"/>
        <w:ind w:right="0" w:rightChars="0"/>
        <w:jc w:val="center"/>
        <w:textAlignment w:val="auto"/>
        <w:rPr>
          <w:rFonts w:hint="eastAsia" w:ascii="方正小标宋_GBK" w:hAnsi="方正小标宋_GBK" w:eastAsia="方正小标宋_GBK" w:cs="方正小标宋_GBK"/>
          <w:spacing w:val="0"/>
          <w:kern w:val="2"/>
          <w:sz w:val="32"/>
          <w:szCs w:val="32"/>
          <w:lang w:val="en-US" w:eastAsia="zh-CN" w:bidi="ar-SA"/>
        </w:rPr>
      </w:pPr>
      <w:r>
        <w:rPr>
          <w:rFonts w:hint="eastAsia" w:ascii="方正小标宋_GBK" w:hAnsi="方正小标宋_GBK" w:eastAsia="方正小标宋_GBK" w:cs="方正小标宋_GBK"/>
          <w:spacing w:val="0"/>
          <w:kern w:val="2"/>
          <w:sz w:val="32"/>
          <w:szCs w:val="32"/>
          <w:lang w:val="en-US" w:eastAsia="zh-CN" w:bidi="ar-SA"/>
        </w:rPr>
        <w:t>区政府关于贲驰、宋民同志职务任免的通知</w:t>
      </w:r>
    </w:p>
    <w:p w14:paraId="6CB56E76">
      <w:pPr>
        <w:pStyle w:val="16"/>
        <w:keepNext w:val="0"/>
        <w:keepLines w:val="0"/>
        <w:pageBreakBefore w:val="0"/>
        <w:widowControl w:val="0"/>
        <w:kinsoku/>
        <w:wordWrap/>
        <w:overflowPunct/>
        <w:topLinePunct w:val="0"/>
        <w:bidi w:val="0"/>
        <w:snapToGrid w:val="0"/>
        <w:spacing w:line="400" w:lineRule="exact"/>
        <w:ind w:right="0" w:rightChars="0"/>
        <w:jc w:val="center"/>
        <w:textAlignment w:val="auto"/>
        <w:rPr>
          <w:rFonts w:hint="eastAsia" w:ascii="仿宋_GB2312" w:hAnsi="仿宋_GB2312" w:eastAsia="仿宋_GB2312" w:cs="仿宋_GB2312"/>
          <w:color w:val="000000"/>
          <w:sz w:val="28"/>
          <w:szCs w:val="28"/>
        </w:rPr>
      </w:pPr>
    </w:p>
    <w:p w14:paraId="3BDC22BC">
      <w:pPr>
        <w:pStyle w:val="16"/>
        <w:keepNext w:val="0"/>
        <w:keepLines w:val="0"/>
        <w:pageBreakBefore w:val="0"/>
        <w:widowControl w:val="0"/>
        <w:kinsoku/>
        <w:wordWrap/>
        <w:overflowPunct/>
        <w:topLinePunct w:val="0"/>
        <w:bidi w:val="0"/>
        <w:snapToGrid w:val="0"/>
        <w:spacing w:line="400" w:lineRule="exact"/>
        <w:ind w:right="0" w:rightChars="0"/>
        <w:jc w:val="center"/>
        <w:textAlignment w:val="auto"/>
        <w:rPr>
          <w:rFonts w:hint="eastAsia" w:ascii="楷体_GB2312" w:hAnsi="楷体_GB2312" w:eastAsia="楷体_GB2312" w:cs="楷体_GB2312"/>
          <w:spacing w:val="0"/>
          <w:kern w:val="2"/>
          <w:sz w:val="28"/>
          <w:szCs w:val="28"/>
          <w:lang w:val="en-US" w:eastAsia="zh-CN" w:bidi="ar-SA"/>
        </w:rPr>
      </w:pPr>
      <w:r>
        <w:rPr>
          <w:rFonts w:hint="eastAsia" w:ascii="楷体_GB2312" w:hAnsi="楷体_GB2312" w:eastAsia="楷体_GB2312" w:cs="楷体_GB2312"/>
          <w:spacing w:val="0"/>
          <w:kern w:val="2"/>
          <w:sz w:val="28"/>
          <w:szCs w:val="28"/>
          <w:lang w:val="en-US" w:eastAsia="zh-CN" w:bidi="ar-SA"/>
        </w:rPr>
        <w:t>海政干〔2026〕4号</w:t>
      </w:r>
    </w:p>
    <w:p w14:paraId="7BFFE89F">
      <w:pPr>
        <w:pStyle w:val="16"/>
        <w:keepNext w:val="0"/>
        <w:keepLines w:val="0"/>
        <w:pageBreakBefore w:val="0"/>
        <w:widowControl w:val="0"/>
        <w:kinsoku/>
        <w:wordWrap/>
        <w:overflowPunct/>
        <w:topLinePunct w:val="0"/>
        <w:bidi w:val="0"/>
        <w:snapToGrid w:val="0"/>
        <w:spacing w:line="400" w:lineRule="exact"/>
        <w:ind w:right="0" w:rightChars="0"/>
        <w:jc w:val="both"/>
        <w:textAlignment w:val="auto"/>
        <w:rPr>
          <w:rFonts w:hint="eastAsia" w:ascii="仿宋_GB2312" w:hAnsi="仿宋_GB2312" w:eastAsia="仿宋_GB2312" w:cs="仿宋_GB2312"/>
          <w:color w:val="000000"/>
          <w:sz w:val="28"/>
          <w:szCs w:val="28"/>
        </w:rPr>
      </w:pPr>
    </w:p>
    <w:p w14:paraId="36AB5E4A">
      <w:pPr>
        <w:pStyle w:val="16"/>
        <w:keepNext w:val="0"/>
        <w:keepLines w:val="0"/>
        <w:pageBreakBefore w:val="0"/>
        <w:widowControl w:val="0"/>
        <w:kinsoku/>
        <w:wordWrap/>
        <w:overflowPunct/>
        <w:topLinePunct w:val="0"/>
        <w:bidi w:val="0"/>
        <w:snapToGrid w:val="0"/>
        <w:spacing w:line="400" w:lineRule="exact"/>
        <w:ind w:right="0" w:rightChars="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各区镇（街道）政府（管委会、办事处）、区各委办局、区各直属单位、各垂直管理部门（单位）：</w:t>
      </w:r>
    </w:p>
    <w:p w14:paraId="3420B434">
      <w:pPr>
        <w:pStyle w:val="16"/>
        <w:keepNext w:val="0"/>
        <w:keepLines w:val="0"/>
        <w:pageBreakBefore w:val="0"/>
        <w:widowControl w:val="0"/>
        <w:kinsoku/>
        <w:wordWrap/>
        <w:overflowPunct/>
        <w:topLinePunct w:val="0"/>
        <w:autoSpaceDE w:val="0"/>
        <w:autoSpaceDN w:val="0"/>
        <w:bidi w:val="0"/>
        <w:adjustRightInd w:val="0"/>
        <w:snapToGrid w:val="0"/>
        <w:spacing w:line="400" w:lineRule="exact"/>
        <w:ind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经研究，决定：</w:t>
      </w:r>
    </w:p>
    <w:p w14:paraId="22551A03">
      <w:pPr>
        <w:pStyle w:val="16"/>
        <w:keepNext w:val="0"/>
        <w:keepLines w:val="0"/>
        <w:pageBreakBefore w:val="0"/>
        <w:widowControl w:val="0"/>
        <w:kinsoku/>
        <w:wordWrap/>
        <w:overflowPunct/>
        <w:topLinePunct w:val="0"/>
        <w:autoSpaceDE w:val="0"/>
        <w:autoSpaceDN w:val="0"/>
        <w:bidi w:val="0"/>
        <w:adjustRightInd w:val="0"/>
        <w:snapToGrid w:val="0"/>
        <w:spacing w:line="400" w:lineRule="exact"/>
        <w:ind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贲驰同志任南通市公安局海门分局督察长；</w:t>
      </w:r>
    </w:p>
    <w:p w14:paraId="4B54DB64">
      <w:pPr>
        <w:pStyle w:val="16"/>
        <w:keepNext w:val="0"/>
        <w:keepLines w:val="0"/>
        <w:pageBreakBefore w:val="0"/>
        <w:widowControl w:val="0"/>
        <w:kinsoku/>
        <w:wordWrap/>
        <w:overflowPunct/>
        <w:topLinePunct w:val="0"/>
        <w:autoSpaceDE w:val="0"/>
        <w:autoSpaceDN w:val="0"/>
        <w:bidi w:val="0"/>
        <w:adjustRightInd w:val="0"/>
        <w:snapToGrid w:val="0"/>
        <w:spacing w:line="400" w:lineRule="exact"/>
        <w:ind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免去宋民同志区公安局督察长职务。</w:t>
      </w:r>
    </w:p>
    <w:p w14:paraId="53D49684">
      <w:pPr>
        <w:pStyle w:val="16"/>
        <w:keepNext w:val="0"/>
        <w:keepLines w:val="0"/>
        <w:pageBreakBefore w:val="0"/>
        <w:widowControl w:val="0"/>
        <w:kinsoku/>
        <w:wordWrap/>
        <w:overflowPunct/>
        <w:topLinePunct w:val="0"/>
        <w:bidi w:val="0"/>
        <w:snapToGrid w:val="0"/>
        <w:spacing w:line="400" w:lineRule="exact"/>
        <w:ind w:right="0" w:rightChars="0"/>
        <w:jc w:val="both"/>
        <w:textAlignment w:val="auto"/>
        <w:rPr>
          <w:rFonts w:hint="eastAsia" w:ascii="仿宋_GB2312" w:hAnsi="仿宋_GB2312" w:eastAsia="仿宋_GB2312" w:cs="仿宋_GB2312"/>
          <w:color w:val="000000"/>
          <w:sz w:val="28"/>
          <w:szCs w:val="28"/>
        </w:rPr>
      </w:pPr>
    </w:p>
    <w:p w14:paraId="1C931F62">
      <w:pPr>
        <w:pStyle w:val="16"/>
        <w:keepNext w:val="0"/>
        <w:keepLines w:val="0"/>
        <w:pageBreakBefore w:val="0"/>
        <w:widowControl w:val="0"/>
        <w:kinsoku/>
        <w:wordWrap/>
        <w:overflowPunct/>
        <w:topLinePunct w:val="0"/>
        <w:bidi w:val="0"/>
        <w:snapToGrid w:val="0"/>
        <w:spacing w:line="400" w:lineRule="exact"/>
        <w:ind w:right="0" w:rightChars="0"/>
        <w:jc w:val="both"/>
        <w:textAlignment w:val="auto"/>
        <w:rPr>
          <w:rFonts w:hint="eastAsia" w:ascii="仿宋_GB2312" w:hAnsi="仿宋_GB2312" w:eastAsia="仿宋_GB2312" w:cs="仿宋_GB2312"/>
          <w:color w:val="000000"/>
          <w:sz w:val="28"/>
          <w:szCs w:val="28"/>
        </w:rPr>
      </w:pPr>
    </w:p>
    <w:p w14:paraId="3C5FC702">
      <w:pPr>
        <w:pStyle w:val="16"/>
        <w:keepNext w:val="0"/>
        <w:keepLines w:val="0"/>
        <w:pageBreakBefore w:val="0"/>
        <w:widowControl w:val="0"/>
        <w:kinsoku/>
        <w:wordWrap/>
        <w:overflowPunct/>
        <w:topLinePunct w:val="0"/>
        <w:bidi w:val="0"/>
        <w:snapToGrid w:val="0"/>
        <w:spacing w:line="400" w:lineRule="exact"/>
        <w:ind w:right="0" w:rightChars="0"/>
        <w:jc w:val="righ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南通市海门区人民政府</w:t>
      </w:r>
    </w:p>
    <w:p w14:paraId="44D2E912">
      <w:pPr>
        <w:pStyle w:val="16"/>
        <w:keepNext w:val="0"/>
        <w:keepLines w:val="0"/>
        <w:pageBreakBefore w:val="0"/>
        <w:widowControl w:val="0"/>
        <w:kinsoku/>
        <w:wordWrap/>
        <w:overflowPunct/>
        <w:topLinePunct w:val="0"/>
        <w:bidi w:val="0"/>
        <w:snapToGrid w:val="0"/>
        <w:spacing w:line="400" w:lineRule="exact"/>
        <w:ind w:right="0" w:rightChars="0"/>
        <w:jc w:val="righ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2026年</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月2</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日</w:t>
      </w:r>
    </w:p>
    <w:p w14:paraId="61180B53">
      <w:pPr>
        <w:pStyle w:val="16"/>
        <w:keepNext w:val="0"/>
        <w:keepLines w:val="0"/>
        <w:pageBreakBefore w:val="0"/>
        <w:widowControl w:val="0"/>
        <w:kinsoku/>
        <w:wordWrap/>
        <w:overflowPunct/>
        <w:topLinePunct w:val="0"/>
        <w:bidi w:val="0"/>
        <w:snapToGrid w:val="0"/>
        <w:spacing w:line="400" w:lineRule="exact"/>
        <w:ind w:right="0" w:rightChars="0"/>
        <w:jc w:val="both"/>
        <w:textAlignment w:val="auto"/>
        <w:rPr>
          <w:rFonts w:hint="eastAsia" w:ascii="仿宋_GB2312" w:hAnsi="仿宋_GB2312" w:eastAsia="仿宋_GB2312" w:cs="仿宋_GB2312"/>
          <w:color w:val="000000"/>
          <w:sz w:val="28"/>
          <w:szCs w:val="28"/>
        </w:rPr>
      </w:pPr>
    </w:p>
    <w:p w14:paraId="388CB35B">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jc w:val="center"/>
        <w:textAlignment w:val="auto"/>
        <w:rPr>
          <w:rFonts w:hint="eastAsia" w:ascii="方正小标宋_GBK" w:hAnsi="方正小标宋_GBK" w:eastAsia="方正小标宋_GBK" w:cs="方正小标宋_GBK"/>
          <w:spacing w:val="0"/>
          <w:kern w:val="2"/>
          <w:sz w:val="32"/>
          <w:szCs w:val="32"/>
          <w:lang w:val="en-US" w:eastAsia="zh-CN" w:bidi="ar-SA"/>
        </w:rPr>
      </w:pPr>
      <w:r>
        <w:rPr>
          <w:rFonts w:hint="eastAsia" w:ascii="方正小标宋_GBK" w:hAnsi="方正小标宋_GBK" w:eastAsia="方正小标宋_GBK" w:cs="方正小标宋_GBK"/>
          <w:spacing w:val="0"/>
          <w:kern w:val="2"/>
          <w:sz w:val="32"/>
          <w:szCs w:val="32"/>
          <w:lang w:val="en-US" w:eastAsia="zh-CN" w:bidi="ar-SA"/>
        </w:rPr>
        <w:t>区政府关于凌春华等同志职务任命的通知</w:t>
      </w:r>
    </w:p>
    <w:p w14:paraId="39CC81F5">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jc w:val="both"/>
        <w:textAlignment w:val="auto"/>
        <w:rPr>
          <w:rFonts w:hint="eastAsia" w:ascii="仿宋_GB2312" w:hAnsi="仿宋_GB2312" w:eastAsia="仿宋_GB2312" w:cs="仿宋_GB2312"/>
          <w:color w:val="000000"/>
          <w:sz w:val="28"/>
          <w:szCs w:val="28"/>
        </w:rPr>
      </w:pPr>
    </w:p>
    <w:p w14:paraId="2C9719DC">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jc w:val="center"/>
        <w:textAlignment w:val="auto"/>
        <w:rPr>
          <w:rFonts w:hint="eastAsia" w:ascii="楷体_GB2312" w:hAnsi="楷体_GB2312" w:eastAsia="楷体_GB2312" w:cs="楷体_GB2312"/>
          <w:spacing w:val="0"/>
          <w:kern w:val="2"/>
          <w:sz w:val="28"/>
          <w:szCs w:val="28"/>
          <w:lang w:val="en-US" w:eastAsia="zh-CN" w:bidi="ar-SA"/>
        </w:rPr>
      </w:pPr>
      <w:r>
        <w:rPr>
          <w:rFonts w:hint="eastAsia" w:ascii="楷体_GB2312" w:hAnsi="楷体_GB2312" w:eastAsia="楷体_GB2312" w:cs="楷体_GB2312"/>
          <w:spacing w:val="0"/>
          <w:kern w:val="2"/>
          <w:sz w:val="28"/>
          <w:szCs w:val="28"/>
          <w:lang w:val="en-US" w:eastAsia="zh-CN" w:bidi="ar-SA"/>
        </w:rPr>
        <w:t>海政干〔2026〕5号</w:t>
      </w:r>
    </w:p>
    <w:p w14:paraId="12E92C4B">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jc w:val="both"/>
        <w:textAlignment w:val="auto"/>
        <w:rPr>
          <w:rFonts w:hint="eastAsia" w:ascii="仿宋_GB2312" w:hAnsi="仿宋_GB2312" w:eastAsia="仿宋_GB2312" w:cs="仿宋_GB2312"/>
          <w:color w:val="000000"/>
          <w:sz w:val="28"/>
          <w:szCs w:val="28"/>
        </w:rPr>
      </w:pPr>
    </w:p>
    <w:p w14:paraId="04B4D2D4">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各区镇（街道）政府（管委会、办事处）、区各委办局、区各直属单位、各垂直管理部门（单位）：</w:t>
      </w:r>
    </w:p>
    <w:p w14:paraId="318B3F03">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经研究，决定：</w:t>
      </w:r>
    </w:p>
    <w:p w14:paraId="4BC5C238">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凌春华同志任南通市公安局海门分局副局长（挂职），挂职时间：2026年2月至2027年2月；</w:t>
      </w:r>
    </w:p>
    <w:p w14:paraId="69AF4E28">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赵玢阳同志任区发展和改革委员会副主任（挂职），挂职时间：2026年3月至2027年3月；</w:t>
      </w:r>
    </w:p>
    <w:p w14:paraId="3D484180">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王晨蘅同志任区商务局副局长（挂职），挂职时间：2026年3月至2027年3月。</w:t>
      </w:r>
    </w:p>
    <w:p w14:paraId="50625B54">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jc w:val="both"/>
        <w:textAlignment w:val="auto"/>
        <w:rPr>
          <w:rFonts w:hint="eastAsia" w:ascii="仿宋_GB2312" w:hAnsi="仿宋_GB2312" w:eastAsia="仿宋_GB2312" w:cs="仿宋_GB2312"/>
          <w:color w:val="000000"/>
          <w:sz w:val="28"/>
          <w:szCs w:val="28"/>
        </w:rPr>
      </w:pPr>
    </w:p>
    <w:p w14:paraId="2E7669E2">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jc w:val="righ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南通市海门区人民政府</w:t>
      </w:r>
    </w:p>
    <w:p w14:paraId="3CFC5011">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jc w:val="righ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2026年</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月2</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日</w:t>
      </w:r>
    </w:p>
    <w:p w14:paraId="2DE6B464">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jc w:val="both"/>
        <w:textAlignment w:val="auto"/>
        <w:rPr>
          <w:rFonts w:hint="eastAsia" w:ascii="仿宋_GB2312" w:hAnsi="仿宋_GB2312" w:eastAsia="仿宋_GB2312" w:cs="仿宋_GB2312"/>
          <w:color w:val="000000"/>
          <w:sz w:val="28"/>
          <w:szCs w:val="28"/>
        </w:rPr>
      </w:pPr>
    </w:p>
    <w:p w14:paraId="0CB34996">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jc w:val="center"/>
        <w:textAlignment w:val="auto"/>
        <w:rPr>
          <w:rFonts w:hint="eastAsia" w:ascii="方正小标宋_GBK" w:hAnsi="方正小标宋_GBK" w:eastAsia="方正小标宋_GBK" w:cs="方正小标宋_GBK"/>
          <w:spacing w:val="0"/>
          <w:kern w:val="2"/>
          <w:sz w:val="32"/>
          <w:szCs w:val="32"/>
          <w:lang w:val="en-US" w:eastAsia="zh-CN" w:bidi="ar-SA"/>
        </w:rPr>
      </w:pPr>
      <w:r>
        <w:rPr>
          <w:rFonts w:hint="eastAsia" w:ascii="方正小标宋_GBK" w:hAnsi="方正小标宋_GBK" w:eastAsia="方正小标宋_GBK" w:cs="方正小标宋_GBK"/>
          <w:spacing w:val="0"/>
          <w:kern w:val="2"/>
          <w:sz w:val="32"/>
          <w:szCs w:val="32"/>
          <w:lang w:val="en-US" w:eastAsia="zh-CN" w:bidi="ar-SA"/>
        </w:rPr>
        <w:t>区政府关于周凯等同志职务任免的通知</w:t>
      </w:r>
    </w:p>
    <w:p w14:paraId="4A917760">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jc w:val="center"/>
        <w:textAlignment w:val="auto"/>
        <w:rPr>
          <w:rFonts w:hint="eastAsia" w:ascii="楷体_GB2312" w:hAnsi="楷体_GB2312" w:eastAsia="楷体_GB2312" w:cs="楷体_GB2312"/>
          <w:spacing w:val="0"/>
          <w:kern w:val="2"/>
          <w:sz w:val="28"/>
          <w:szCs w:val="28"/>
          <w:lang w:val="en-US" w:eastAsia="zh-CN" w:bidi="ar-SA"/>
        </w:rPr>
      </w:pPr>
    </w:p>
    <w:p w14:paraId="77DBC5D6">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jc w:val="center"/>
        <w:textAlignment w:val="auto"/>
        <w:rPr>
          <w:rFonts w:hint="eastAsia" w:ascii="楷体_GB2312" w:hAnsi="楷体_GB2312" w:eastAsia="楷体_GB2312" w:cs="楷体_GB2312"/>
          <w:spacing w:val="0"/>
          <w:kern w:val="2"/>
          <w:sz w:val="28"/>
          <w:szCs w:val="28"/>
          <w:lang w:val="en-US" w:eastAsia="zh-CN" w:bidi="ar-SA"/>
        </w:rPr>
      </w:pPr>
      <w:r>
        <w:rPr>
          <w:rFonts w:hint="eastAsia" w:ascii="楷体_GB2312" w:hAnsi="楷体_GB2312" w:eastAsia="楷体_GB2312" w:cs="楷体_GB2312"/>
          <w:spacing w:val="0"/>
          <w:kern w:val="2"/>
          <w:sz w:val="28"/>
          <w:szCs w:val="28"/>
          <w:lang w:val="en-US" w:eastAsia="zh-CN" w:bidi="ar-SA"/>
        </w:rPr>
        <w:t>海政干〔2026〕6号</w:t>
      </w:r>
    </w:p>
    <w:p w14:paraId="62A71E41">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jc w:val="both"/>
        <w:textAlignment w:val="auto"/>
        <w:rPr>
          <w:rFonts w:hint="eastAsia" w:ascii="仿宋_GB2312" w:hAnsi="仿宋_GB2312" w:eastAsia="仿宋_GB2312" w:cs="仿宋_GB2312"/>
          <w:color w:val="000000"/>
          <w:sz w:val="28"/>
          <w:szCs w:val="28"/>
        </w:rPr>
      </w:pPr>
    </w:p>
    <w:p w14:paraId="2531ED86">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各区镇（街道）政府（管委会、办事处）、区各委办局、区各直属单位、各垂直管理部门（单位）：</w:t>
      </w:r>
    </w:p>
    <w:p w14:paraId="52FD0238">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经研究，决定：</w:t>
      </w:r>
    </w:p>
    <w:p w14:paraId="44CA17B9">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周凯同志任海门街道办事处主任；</w:t>
      </w:r>
    </w:p>
    <w:p w14:paraId="43BF5402">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吴娇娇同志任区住房和城乡建设局副局长；</w:t>
      </w:r>
    </w:p>
    <w:p w14:paraId="4404A340">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潘燕燕同志任海门街道办事处副主任；</w:t>
      </w:r>
    </w:p>
    <w:p w14:paraId="5EA5E07B">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免去刘晓曦、马丹同志海门街道办事处副主任职务；</w:t>
      </w:r>
    </w:p>
    <w:p w14:paraId="7EBE0BBA">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免去朱俊杰、包小松同志海门港新区管委会副主任职务；</w:t>
      </w:r>
    </w:p>
    <w:p w14:paraId="00FA6A91">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免去姜新峰同志区人民医院院长职务。</w:t>
      </w:r>
    </w:p>
    <w:p w14:paraId="080263CE">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jc w:val="both"/>
        <w:textAlignment w:val="auto"/>
        <w:rPr>
          <w:rFonts w:hint="eastAsia" w:ascii="仿宋_GB2312" w:hAnsi="仿宋_GB2312" w:eastAsia="仿宋_GB2312" w:cs="仿宋_GB2312"/>
          <w:color w:val="000000"/>
          <w:sz w:val="28"/>
          <w:szCs w:val="28"/>
        </w:rPr>
      </w:pPr>
    </w:p>
    <w:p w14:paraId="78C94CE5">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jc w:val="righ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南通市海门区人民政府</w:t>
      </w:r>
    </w:p>
    <w:p w14:paraId="433557DA">
      <w:pPr>
        <w:pStyle w:val="16"/>
        <w:keepNext w:val="0"/>
        <w:keepLines w:val="0"/>
        <w:pageBreakBefore w:val="0"/>
        <w:widowControl w:val="0"/>
        <w:kinsoku/>
        <w:wordWrap/>
        <w:overflowPunct/>
        <w:topLinePunct w:val="0"/>
        <w:autoSpaceDE w:val="0"/>
        <w:autoSpaceDN w:val="0"/>
        <w:bidi w:val="0"/>
        <w:adjustRightInd w:val="0"/>
        <w:snapToGrid w:val="0"/>
        <w:spacing w:line="380" w:lineRule="exact"/>
        <w:ind w:right="0" w:rightChars="0"/>
        <w:jc w:val="righ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2026年</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19</w:t>
      </w:r>
      <w:r>
        <w:rPr>
          <w:rFonts w:hint="eastAsia" w:ascii="仿宋_GB2312" w:hAnsi="仿宋_GB2312" w:eastAsia="仿宋_GB2312" w:cs="仿宋_GB2312"/>
          <w:color w:val="000000"/>
          <w:sz w:val="28"/>
          <w:szCs w:val="28"/>
        </w:rPr>
        <w:t>日</w:t>
      </w:r>
    </w:p>
    <w:p w14:paraId="0A67F1A5">
      <w:pPr>
        <w:ind w:right="25" w:rightChars="12"/>
        <w:rPr>
          <w:rFonts w:hint="eastAsia" w:ascii="方正魏碑_GBK" w:hAnsi="宋体" w:eastAsia="方正魏碑_GBK" w:cs="宋体"/>
          <w:kern w:val="0"/>
          <w:sz w:val="48"/>
          <w:szCs w:val="48"/>
          <w:bdr w:val="wave" w:color="auto" w:sz="6" w:space="0"/>
        </w:rPr>
      </w:pPr>
      <w:r>
        <w:rPr>
          <w:rFonts w:hint="eastAsia" w:ascii="华文新魏" w:hAnsi="宋体" w:eastAsia="华文新魏" w:cs="宋体"/>
          <w:kern w:val="0"/>
          <w:sz w:val="48"/>
          <w:szCs w:val="48"/>
          <w:bdr w:val="wave" w:color="auto" w:sz="6" w:space="0"/>
        </w:rPr>
        <w:t>大事记</w:t>
      </w:r>
    </w:p>
    <w:p w14:paraId="6E34440B">
      <w:pPr>
        <w:adjustRightInd w:val="0"/>
        <w:snapToGrid w:val="0"/>
        <w:spacing w:line="560" w:lineRule="exact"/>
        <w:ind w:right="25" w:rightChars="12"/>
        <w:jc w:val="center"/>
        <w:rPr>
          <w:rFonts w:ascii="方正小标宋_GBK" w:eastAsia="方正小标宋_GBK"/>
          <w:bCs/>
          <w:sz w:val="32"/>
          <w:szCs w:val="32"/>
        </w:rPr>
      </w:pPr>
      <w:bookmarkStart w:id="1" w:name="_Toc24153"/>
      <w:bookmarkStart w:id="2" w:name="_Toc11451"/>
      <w:bookmarkStart w:id="3" w:name="_Toc140"/>
      <w:bookmarkStart w:id="4" w:name="_Toc1178"/>
      <w:bookmarkStart w:id="5" w:name="_Toc21627"/>
      <w:bookmarkStart w:id="6" w:name="_Toc32505"/>
      <w:bookmarkStart w:id="7" w:name="_Toc21648"/>
      <w:bookmarkStart w:id="8" w:name="_Toc10022723"/>
      <w:bookmarkStart w:id="9" w:name="_Toc487446063"/>
      <w:r>
        <w:rPr>
          <w:rFonts w:hint="eastAsia" w:ascii="方正小标宋_GBK" w:eastAsia="方正小标宋_GBK"/>
          <w:bCs/>
          <w:sz w:val="32"/>
          <w:szCs w:val="32"/>
        </w:rPr>
        <w:t>重要活动</w:t>
      </w:r>
      <w:bookmarkEnd w:id="1"/>
      <w:bookmarkEnd w:id="2"/>
      <w:bookmarkEnd w:id="3"/>
      <w:bookmarkEnd w:id="4"/>
      <w:bookmarkEnd w:id="5"/>
      <w:bookmarkEnd w:id="6"/>
      <w:bookmarkEnd w:id="7"/>
      <w:bookmarkEnd w:id="8"/>
      <w:bookmarkEnd w:id="9"/>
    </w:p>
    <w:p w14:paraId="299EEB75">
      <w:pPr>
        <w:jc w:val="center"/>
        <w:rPr>
          <w:rFonts w:hint="eastAsia" w:ascii="楷体_GB2312" w:hAnsi="宋体" w:eastAsia="楷体_GB2312"/>
          <w:b/>
          <w:sz w:val="24"/>
        </w:rPr>
      </w:pPr>
      <w:r>
        <w:rPr>
          <w:rFonts w:hint="eastAsia" w:ascii="楷体_GB2312" w:hAnsi="宋体" w:eastAsia="楷体_GB2312"/>
          <w:b/>
          <w:sz w:val="24"/>
        </w:rPr>
        <w:t>（20</w:t>
      </w:r>
      <w:r>
        <w:rPr>
          <w:rFonts w:hint="eastAsia" w:ascii="楷体_GB2312" w:hAnsi="宋体" w:eastAsia="楷体_GB2312"/>
          <w:b/>
          <w:sz w:val="24"/>
          <w:lang w:val="en-US" w:eastAsia="zh-CN"/>
        </w:rPr>
        <w:t>26</w:t>
      </w:r>
      <w:r>
        <w:rPr>
          <w:rFonts w:hint="eastAsia" w:ascii="楷体_GB2312" w:hAnsi="宋体" w:eastAsia="楷体_GB2312"/>
          <w:b/>
          <w:sz w:val="24"/>
        </w:rPr>
        <w:t>年</w:t>
      </w:r>
      <w:r>
        <w:rPr>
          <w:rFonts w:hint="eastAsia" w:ascii="楷体_GB2312" w:hAnsi="宋体" w:eastAsia="楷体_GB2312"/>
          <w:b/>
          <w:sz w:val="24"/>
          <w:lang w:val="en-US" w:eastAsia="zh-CN"/>
        </w:rPr>
        <w:t>3</w:t>
      </w:r>
      <w:r>
        <w:rPr>
          <w:rFonts w:hint="eastAsia" w:ascii="楷体_GB2312" w:hAnsi="宋体" w:eastAsia="楷体_GB2312"/>
          <w:b/>
          <w:sz w:val="24"/>
        </w:rPr>
        <w:t>月1日—20</w:t>
      </w:r>
      <w:r>
        <w:rPr>
          <w:rFonts w:hint="eastAsia" w:ascii="楷体_GB2312" w:hAnsi="宋体" w:eastAsia="楷体_GB2312"/>
          <w:b/>
          <w:sz w:val="24"/>
          <w:lang w:val="en-US" w:eastAsia="zh-CN"/>
        </w:rPr>
        <w:t>26</w:t>
      </w:r>
      <w:r>
        <w:rPr>
          <w:rFonts w:hint="eastAsia" w:ascii="楷体_GB2312" w:hAnsi="宋体" w:eastAsia="楷体_GB2312"/>
          <w:b/>
          <w:sz w:val="24"/>
        </w:rPr>
        <w:t>年</w:t>
      </w:r>
      <w:r>
        <w:rPr>
          <w:rFonts w:hint="eastAsia" w:ascii="楷体_GB2312" w:hAnsi="宋体" w:eastAsia="楷体_GB2312"/>
          <w:b/>
          <w:sz w:val="24"/>
          <w:lang w:val="en-US" w:eastAsia="zh-CN"/>
        </w:rPr>
        <w:t>4</w:t>
      </w:r>
      <w:r>
        <w:rPr>
          <w:rFonts w:hint="eastAsia" w:ascii="楷体_GB2312" w:hAnsi="宋体" w:eastAsia="楷体_GB2312"/>
          <w:b/>
          <w:sz w:val="24"/>
        </w:rPr>
        <w:t>月</w:t>
      </w:r>
      <w:r>
        <w:rPr>
          <w:rFonts w:hint="eastAsia" w:ascii="楷体_GB2312" w:hAnsi="宋体" w:eastAsia="楷体_GB2312"/>
          <w:b/>
          <w:sz w:val="24"/>
          <w:lang w:val="en-US" w:eastAsia="zh-CN"/>
        </w:rPr>
        <w:t>30</w:t>
      </w:r>
      <w:r>
        <w:rPr>
          <w:rFonts w:hint="eastAsia" w:ascii="楷体_GB2312" w:hAnsi="宋体" w:eastAsia="楷体_GB2312"/>
          <w:b/>
          <w:sz w:val="24"/>
        </w:rPr>
        <w:t>日）</w:t>
      </w:r>
    </w:p>
    <w:p w14:paraId="6E45E0F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i w:val="0"/>
          <w:iCs w:val="0"/>
          <w:caps w:val="0"/>
          <w:color w:val="333333"/>
          <w:spacing w:val="0"/>
          <w:sz w:val="24"/>
          <w:szCs w:val="24"/>
          <w:shd w:val="clear" w:color="auto" w:fill="FFFFFF"/>
          <w:lang w:val="en-US" w:eastAsia="zh-CN"/>
        </w:rPr>
      </w:pPr>
    </w:p>
    <w:p w14:paraId="354CD6F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3日，区委常委会会议暨区委党的建设工作领导小组会议召开，深入学习贯彻习近平总书记关于树立和践行正确政绩观学习教育的重要讲话和重要指示精神，全面落实中央和省委、南通市委党的建设工作领导小组会议部署要求，审议我区学习教育《实施方案》，部署启动全区学习教育工作。区委书记、区委党的建设工作领导小组组长沈旭东主持会议并讲话。</w:t>
      </w:r>
    </w:p>
    <w:p w14:paraId="392DC85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4日，全区宣传思想文化工作会议召开，深入学习贯彻习近平新时代中国特色社会主义思想和习近平文化思想，全面落实全国、省市宣传部长会议精神及区委十五届十二次全会部署要求，总结2025年工作成效，部署2026年重点任务。区委书记沈旭东对全区宣传思想文化工作作出批示。</w:t>
      </w:r>
    </w:p>
    <w:p w14:paraId="308415E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4日，全区公安工作会议召开，深入学习贯彻习近平总书记关于新时代公安工作的重要论述，全面落实上级政法、公安工作会议部署要求，动员全区公安机关和广大公安干警统一思想、凝聚力量，扎实推进公安工作现代化，奋力开创海门“十五五”高质量发展新局面。区委书记沈旭东出席会议并讲话。</w:t>
      </w:r>
    </w:p>
    <w:p w14:paraId="4D389B4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4日，区委农村工作会议召开，深入学习贯彻习近平总书记关于“三农”工作的重要论述和重要指示精神，认真落实中央和省委、市委农村工作会议部署，总结成绩、分析形势，部署今年重点任务。区委书记沈旭东出席会议并讲话。区委副书记、区长陈威涛主持会议。区委副书记、统战部部长杨春红作工作部署。区委副书记、副区长刘其霞出席会议。</w:t>
      </w:r>
    </w:p>
    <w:p w14:paraId="01D0F85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9日，全区国企高质量发展会议召开，深入贯彻落实中央和省、市对国企发展作出的新部署新要求，认真梳理总结国企发展取得的成效和存在的不足，科学研判当前新形势新挑战，统筹谋划、系统部署新一年重点工作。区委副书记、区长陈威涛出席会议并讲话。</w:t>
      </w:r>
    </w:p>
    <w:p w14:paraId="11911D5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·3月9日，区委书记沈旭东会见施凯乐控股集团有限公司执行总裁利明·格雷厄姆一行，双方就进一步深化务实合作进行交流。</w:t>
      </w:r>
    </w:p>
    <w:p w14:paraId="396309E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·3月9日，三星镇与江苏蓉储科技有限公司签署投资协议，总投资5亿元的蓉储南通储能工厂项目正式落户。区委书记沈旭东，区委副书记、区长陈威涛见证项目签约，并会见蓉储科技总经理班海峰一行。</w:t>
      </w:r>
    </w:p>
    <w:p w14:paraId="484C9DE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·3月10日，謇公湖西山温泉陆地游轮项目在海门经济技术开发区开工建设。区委书记沈旭东宣布项目开工。区政协主席施俊出席开工仪式。</w:t>
      </w:r>
    </w:p>
    <w:p w14:paraId="2C0ED5E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10日，海门港经济开发区与南通艾郎风电科技发展有限公司签署投资协议，总投资30亿元的艾郎风电三期项目正式落地。区委书记沈旭东，区委副书记、区长陈威涛见证项目签约，并会见艾郎科技股份有限公司董事长胡文龙一行。</w:t>
      </w:r>
    </w:p>
    <w:p w14:paraId="2A174F1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·3月12日，以“光影为帆 智创未来”为主题的2026年南通市文化产业专题推介海门专场活动在沪举行。市委常委、宣传部部长陈冬梅致辞。市文化广电和旅游局局长王智出席活动。区委书记沈旭东讲话，区委副书记、区长陈威涛主持活动。</w:t>
      </w:r>
    </w:p>
    <w:p w14:paraId="0B74DF8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13日，海门珂缔缘足球俱乐部中乙联赛2026赛季出征仪式在珂缔缘新基地举行，正式吹响新赛季征战的号角。区委书记沈旭东出席出征仪式，向珂缔缘足球俱乐部授旗并宣布出征。区委副书记、区长陈威涛出席活动并讲话。</w:t>
      </w:r>
    </w:p>
    <w:p w14:paraId="342F897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18日，全区深化府院联动机制推进会议召开，深入学习贯彻习近平法治思想，全面贯彻落实党的二十届四中全会和中央全面依法治国工作会议精神，认真落实上级深化府院联动机制推进会要求，进一步推动府院联动走深走实，加快建设更高水平法治政府，为全区经济社会高质量发展提供坚强法治保障。区委副书记、区长陈威涛出席会议并讲话。</w:t>
      </w:r>
    </w:p>
    <w:p w14:paraId="11A4CFD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18日，区委理论学习中心组举行集体学习会，深入学习贯彻习近平文化思想和习近平总书记关于意识形态工作的重要论述，全面贯彻落实意识形态工作责任制，切实扛起新时代意识形态工作的使命与担当，为海门高质量发展提供坚强思想保证和强大精神力量。区委书记沈旭东主持会议并讲话。区委副书记、区长陈威涛，区人大常委会主任成伟，区政协主席施俊，区委副书记、统战部部长杨春红等参加学习。</w:t>
      </w:r>
    </w:p>
    <w:p w14:paraId="07CACAF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22日，区委书记沈旭东赴海门经济技术开发区调研。他强调，要深入学习贯彻习近平总书记参加十四届全国人大四次会议江苏代表团审议时的重要讲话精神，全面落实省委、省政府部署要求和全市经济形势分析会工作安排，坚持目标导向、问题导向、结果导向，真抓实干、紧抓快干，全力以赴拼经济、抓项目、促发展，奋力夺取一季度“开门红”，为全区高质量发展勇挑大梁、多作贡献。</w:t>
      </w:r>
    </w:p>
    <w:p w14:paraId="11939DE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23日，海门经济技术开发区与江苏海宏建设工程有限公司签署投资协议，总投资20亿元的高技术船舶及海工装备智能装配基地项目正式落户。区委书记沈旭东，区委副书记、区长陈威涛见证项目签约，并会见江苏海宏建设工程有限公司董事长、总经理孟咸宏一行。</w:t>
      </w:r>
    </w:p>
    <w:p w14:paraId="794ECC6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23日，全区经济形势分析会召开，深入学习贯彻习近平总书记参加十四届全国人大四次会议江苏代表团审议时的重要讲话精神，全面落实省市委部署要求，分析当前经济形势，安排下阶段重点工作。区委书记沈旭东主持会议并讲话。区委副书记、区长陈威涛点评部署全区经济运行工作。区委副书记、副区长刘其霞出席会议。</w:t>
      </w:r>
    </w:p>
    <w:p w14:paraId="0A5B8D9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25日，海门区党政代表团赴太仓考察，学习兄弟城市在产业发展、科技创新、城市建设、涉企服务等方面的好思路好做法。太仓市委书记陈羔，市委副书记王瑜，海门区委书记沈旭东，区委副书记、区长陈威涛参加活动。双方举行了座谈会，签订《共同推进高质量跨江融合发展合作协议》，深入落实长三角一体化发展战略，服务全省跨江融合发展大局，深度融入长江口产业创新绿色发展协同区建设，推动双方在交通互联、板块对接、产业发展、科创联动、人才交流、城乡建设、文化旅游、教育卫生等领域对接合作，共同开创两地高质量发展的美好未来。</w:t>
      </w:r>
    </w:p>
    <w:p w14:paraId="5BDDE86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30日，区政府召开廉政工作会议。区委副书记、区长陈威涛出席会议并讲话。他强调，要深入学习贯彻习近平总书记在二十届中央纪委五次全会上的重要讲话精神和党中央关于全面从严治党的战略部署，全面落实国务院和省、市政府廉政工作会议精神，按照十五届区纪委六次全会要求，以更高标准更实举措推进党风廉政建设、深化正风肃纪反腐，以全面从严治党的新成效为“十五五”开好局起好步提供坚强保障。</w:t>
      </w:r>
    </w:p>
    <w:p w14:paraId="651EE6A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30日，区委巡察工作会议暨十五届区委第十一轮巡察动员部署会召开，深入学习贯彻习近平总书记关于党的建设的重要思想、关于党的自我革命的重要思想和关于巡视工作的重要论述，认真落实中央纪委和省、市、区纪委全会精神，对区委第十一轮巡察进行动员部署。区委书记、区委巡察工作领导小组组长沈旭东出席会议并讲话。</w:t>
      </w:r>
    </w:p>
    <w:p w14:paraId="2C4C712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·3月30日，“奋进‘十五五’ 实干展担当”学习宣传贯彻全国两会精神联学联讲活动南通专场在海举行。江苏省社科院党委委员、副院长嵇红梅，江苏省干部理论教育讲师团团长汪桥红，南京师范大学马克思主义学院党委书记蒋其琴出席活动。南通市委常委、宣传部部长陈冬梅，海门区委副书记、区长陈威涛分别致辞。市委宣传部副部长葛伟参加活动。此次活动通过江苏理论宣讲共建共享平台直播，全省64家县级融媒体中心同步直播，吸引省内外411.6万人次在线收看。</w:t>
      </w:r>
    </w:p>
    <w:p w14:paraId="6863632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3月31日至4月2日，区委举办学习贯彻习近平总书记重要讲话精神、树立和践行正确政绩观学习教育读书班。区委书记沈旭东在开班式上讲话并主持集中交流。他强调，要深入学习贯彻习近平总书记参加今年全国人代会江苏代表团审议时的重要讲话精神、关于树立和践行正确政绩观的重要论述，用心读原著、学原文、悟原理，切实打牢立党为公、为民造福、科学决策、真抓实干的思想基础，奋力推动高质量发展行稳致远。区委副书记、区长陈威涛，区人大常委会主任成伟，区政协主席施俊，区委副书记、统战部部长杨春红出席。</w:t>
      </w:r>
    </w:p>
    <w:p w14:paraId="6D2AACD1">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4月2日，区委、区政府召开2026年高质量发展推进会，深入学习贯彻习近平总书记对江苏工作重要讲话精神，认真落实省市委部署要求，动员全区上下树立和践行正确政绩观，全面掀起比学赶超、奋勇争先的发展热潮，以实干实绩奋力谱写“强富美高”新海门现代化建设新篇章。区委书记沈旭东出席会议并讲话。区委副书记、区长陈威涛主持会议。区人大常委会主任成伟出席会议。区委副书记、统战部部长杨春红通报2025年度考核结果。</w:t>
      </w:r>
    </w:p>
    <w:p w14:paraId="778154E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4月8日，市委书记吴新明来海调研。他强调，要深入学习贯彻习近平总书记对江苏工作重要讲话精神，牢固树立和践行正确政绩观，坚定信心、鼓足干劲，聚力项目建设，深化产创融合，更好服务企业发展，为巩固向好势头、增强经济韧性积蓄强劲动能。市政协副主席任新峰，区委书记沈旭东参加调研。</w:t>
      </w:r>
    </w:p>
    <w:p w14:paraId="6FECCD0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·4月8日，国内首艘18万方液化天然气（LNG）运输船“CELSIUS GEORGETOWN”号命名仪式在招商船舶海门基地举行，该船的命名交付是南通船舶海工产业绿色化、智能化发展的重要成果，标志着“南通造”正式跻身全球大型LNG船建造核心阵营。招商局集团董事长缪建民、市委书记吴新明、副市长李玲、区委书记沈旭东出席活动。</w:t>
      </w:r>
    </w:p>
    <w:p w14:paraId="49B2D1E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4月9日，全区群众身边不正之风和腐败问题集中整治2026年部署推进会召开，深入学习贯彻习近平总书记在二十届中央纪委五次全会上的重要讲话精神，全面落实中央纪委国家监委部署要求和省、市有关工作安排，动员全区上下进一步统一思想、明确任务、压实责任，确保全区集中整治工作持续走深走实、见行见效。区委书记沈旭东出席会议并讲话。区政协主席施俊参加会议。区委副书记、统战部部长杨春红主持会议。</w:t>
      </w:r>
    </w:p>
    <w:p w14:paraId="1648579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4月15日，5个人工智能科创项目签约，正式落户海门经济技术开发区，涉及超高速光模块、AI检验检测、具身智能机器人等多个领域。区委书记沈旭东见证项目签约，并会见浙江大学求是特聘教授、博导张登伟，西南交通大学博导、国家级青年人才张傲南，天极量芯副总经理程呈，上海归墟机器人有限公司首席技术官赵炫，百思微视总经理胡冬云一行。</w:t>
      </w:r>
    </w:p>
    <w:p w14:paraId="0FB3512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4月19日，区委人才工作领导小组召开会议，深入学习贯彻习近平总书记关于做好新时代人才工作的重要思想，认真落实中央和省委、市委人才工作领导小组会议精神，研究部署下阶段工作。区委书记、领导小组组长沈旭东主持会议并讲话。区委副书记、区长、领导小组副组长陈威涛，区委副书记、统战部部长、领导小组副组长杨春红出席会议。</w:t>
      </w:r>
    </w:p>
    <w:p w14:paraId="731B27E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4月21日，全市国有企业统战工作推进会在海召开，部署全市国有企业统战工作。省委统战部副部长姜东出席会议，市委常委、统战部部长王小红讲话，海门区委书记沈旭东致辞，市委统战部常务副部长杨建主持会议。市委统战部副部长陈春柳，市国资委党委书记、主任陆雪松，市知联会会长、市医保局局长张劲松，海门区委副书记、统战部部长杨春红参加会议。</w:t>
      </w:r>
    </w:p>
    <w:p w14:paraId="49220AD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4月22日，海门经济技术开发区与江苏瀚思瑞半导体科技有限公司签署投资协议，瀚思瑞半导体二期项目正式落户。区委副书记、区长陈威涛见证项目签约，并会见江苏瀚思瑞半导体科技有限公司董事长史卫利一行。</w:t>
      </w:r>
    </w:p>
    <w:p w14:paraId="7038BEC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·4月22日，法国普尚公司海门工厂正式投产。区委书记沈旭东，普尚创始人克里斯蒂安，普尚欧洲总裁以马利，普尚亚太区总裁埃瑞克及部分重要客户代表出席投产仪式，并参观新工厂。</w:t>
      </w:r>
    </w:p>
    <w:p w14:paraId="4263815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4月24日，区委理论学习中心组举行集体学习（扩大）会，深入学习习近平总书记参加十四届全国人大四次会议江苏代表团审议时的重要讲话精神和全国两会精神，引导广大党员干部牢记嘱托、感恩奋进，切实把学习成果转化为推动全区经济社会高质量发展的强大力量和实际行动。区委书记沈旭东，区政协主席施俊等区领导参加学习。区委副书记、统战部部长杨春红主持会议。</w:t>
      </w:r>
    </w:p>
    <w:p w14:paraId="65A5AE9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4月28日，区委、区政府举行一季度全区项目观摩活动。区委书记沈旭东，区委副书记、区长陈威涛率队，先后前往海门高新区、悦来镇、海门港经济开发区、三星镇、海门开发区，对7个重大产业项目进行集中“检阅”。区委副书记、副区长刘其霞等区领导参加活动。</w:t>
      </w:r>
    </w:p>
    <w:p w14:paraId="61BE813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4月28日，区委、区政府召开“奋战二季度，冲刺双过半”会议，深入贯彻落实全市经济形势分析会和全市招商引资暨项目建设推进会精神，动员全区上下坚定信心、攻坚克难，持续巩固拓展经济稳中向好态势，以过硬成效为省市高质量发展大局多作贡献。区委书记沈旭东出席会议并讲话。区委副书记、区长陈威涛主持会议，并点评部署重点工作。区委副书记、副区长刘其霞等区领导参加会议。</w:t>
      </w:r>
    </w:p>
    <w:p w14:paraId="0CA8D73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i w:val="0"/>
          <w:iCs w:val="0"/>
          <w:caps w:val="0"/>
          <w:color w:val="333333"/>
          <w:spacing w:val="0"/>
          <w:sz w:val="28"/>
          <w:szCs w:val="28"/>
          <w:shd w:val="clear" w:color="auto" w:fill="FFFFFF"/>
          <w:lang w:val="en-US" w:eastAsia="zh-CN"/>
        </w:rPr>
      </w:pPr>
      <w:r>
        <w:rPr>
          <w:rFonts w:hint="eastAsia" w:ascii="仿宋_GB2312" w:hAnsi="仿宋_GB2312" w:eastAsia="仿宋_GB2312" w:cs="仿宋_GB2312"/>
          <w:i w:val="0"/>
          <w:iCs w:val="0"/>
          <w:caps w:val="0"/>
          <w:color w:val="333333"/>
          <w:spacing w:val="0"/>
          <w:sz w:val="28"/>
          <w:szCs w:val="28"/>
          <w:shd w:val="clear" w:color="auto" w:fill="FFFFFF"/>
          <w:lang w:val="en-US" w:eastAsia="zh-CN"/>
        </w:rPr>
        <w:t>·4月30日，“五一”国际劳动节到来之际，区委书记沈旭东，区委副书记、区长陈威涛会见我区2026年全国五一劳动奖章获得者，省、市劳动模范和先进工作者代表。区人大常委会主任成伟，区政协主席施俊参加会见。</w:t>
      </w:r>
    </w:p>
    <w:p w14:paraId="3E6DF2E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i w:val="0"/>
          <w:iCs w:val="0"/>
          <w:caps w:val="0"/>
          <w:color w:val="333333"/>
          <w:spacing w:val="0"/>
          <w:sz w:val="24"/>
          <w:szCs w:val="24"/>
          <w:shd w:val="clear" w:color="auto" w:fill="FFFFFF"/>
          <w:lang w:val="en-US" w:eastAsia="zh-CN"/>
        </w:rPr>
      </w:pPr>
      <w:bookmarkStart w:id="10" w:name="_GoBack"/>
      <w:bookmarkEnd w:id="10"/>
    </w:p>
    <w:sectPr>
      <w:footerReference r:id="rId3" w:type="default"/>
      <w:pgSz w:w="11906" w:h="16838"/>
      <w:pgMar w:top="1814" w:right="1531" w:bottom="1984" w:left="1531"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script"/>
    <w:pitch w:val="default"/>
    <w:sig w:usb0="A00002BF" w:usb1="38CF7CFA" w:usb2="00082016" w:usb3="00000000" w:csb0="00040001" w:csb1="00000000"/>
  </w:font>
  <w:font w:name="方正小标宋_GBK">
    <w:panose1 w:val="03000509000000000000"/>
    <w:charset w:val="86"/>
    <w:family w:val="script"/>
    <w:pitch w:val="default"/>
    <w:sig w:usb0="00000001" w:usb1="080E0000" w:usb2="00000000" w:usb3="00000000" w:csb0="00040000" w:csb1="00000000"/>
  </w:font>
  <w:font w:name="汉鼎简黑体">
    <w:altName w:val="新宋体"/>
    <w:panose1 w:val="00000000000000000000"/>
    <w:charset w:val="86"/>
    <w:family w:val="modern"/>
    <w:pitch w:val="default"/>
    <w:sig w:usb0="00000000" w:usb1="00000000" w:usb2="00000010" w:usb3="00000000" w:csb0="00040000" w:csb1="00000000"/>
  </w:font>
  <w:font w:name="新宋体">
    <w:panose1 w:val="02010609030101010101"/>
    <w:charset w:val="86"/>
    <w:family w:val="auto"/>
    <w:pitch w:val="default"/>
    <w:sig w:usb0="00000203" w:usb1="288F0000" w:usb2="00000006" w:usb3="00000000" w:csb0="00040001" w:csb1="00000000"/>
  </w:font>
  <w:font w:name="华文行楷">
    <w:panose1 w:val="02010800040101010101"/>
    <w:charset w:val="86"/>
    <w:family w:val="auto"/>
    <w:pitch w:val="default"/>
    <w:sig w:usb0="00000001" w:usb1="080F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汉鼎简仿宋">
    <w:altName w:val="宋体"/>
    <w:panose1 w:val="02010609010101010101"/>
    <w:charset w:val="86"/>
    <w:family w:val="modern"/>
    <w:pitch w:val="default"/>
    <w:sig w:usb0="00000000" w:usb1="00000000" w:usb2="00000010" w:usb3="00000000" w:csb0="00040000" w:csb1="00000000"/>
  </w:font>
  <w:font w:name="方正魏碑_GBK">
    <w:altName w:val="方正小标宋_GBK"/>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altName w:val="微软雅黑"/>
    <w:panose1 w:val="03000509000000000000"/>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464C3">
    <w:pPr>
      <w:pStyle w:val="7"/>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8577D8">
                          <w:pPr>
                            <w:pStyle w:val="7"/>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D8577D8">
                    <w:pPr>
                      <w:pStyle w:val="7"/>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083F77"/>
    <w:rsid w:val="14A00241"/>
    <w:rsid w:val="1FDC40FA"/>
    <w:rsid w:val="3A9515B3"/>
    <w:rsid w:val="59C84B4D"/>
    <w:rsid w:val="6ADE5CC4"/>
    <w:rsid w:val="7ABF1CE0"/>
    <w:rsid w:val="7DD94B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adjustRightInd w:val="0"/>
      <w:snapToGrid/>
      <w:ind w:firstLine="0"/>
      <w:jc w:val="left"/>
    </w:pPr>
    <w:rPr>
      <w:spacing w:val="-25"/>
    </w:rPr>
  </w:style>
  <w:style w:type="paragraph" w:styleId="4">
    <w:name w:val="Body Text"/>
    <w:basedOn w:val="1"/>
    <w:next w:val="1"/>
    <w:qFormat/>
    <w:uiPriority w:val="0"/>
    <w:pPr>
      <w:spacing w:line="500" w:lineRule="exact"/>
      <w:jc w:val="center"/>
    </w:pPr>
    <w:rPr>
      <w:rFonts w:eastAsia="宋体"/>
      <w:bCs/>
      <w:sz w:val="44"/>
      <w:szCs w:val="30"/>
    </w:rPr>
  </w:style>
  <w:style w:type="paragraph" w:styleId="5">
    <w:name w:val="Balloon Text"/>
    <w:basedOn w:val="1"/>
    <w:next w:val="6"/>
    <w:uiPriority w:val="0"/>
    <w:rPr>
      <w:sz w:val="18"/>
      <w:szCs w:val="18"/>
    </w:rPr>
  </w:style>
  <w:style w:type="paragraph" w:customStyle="1" w:styleId="6">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7">
    <w:name w:val="footer"/>
    <w:basedOn w:val="1"/>
    <w:qFormat/>
    <w:uiPriority w:val="0"/>
    <w:pPr>
      <w:tabs>
        <w:tab w:val="center" w:pos="4153"/>
        <w:tab w:val="right" w:pos="8306"/>
      </w:tabs>
      <w:spacing w:line="400" w:lineRule="atLeast"/>
      <w:ind w:firstLine="0"/>
      <w:jc w:val="center"/>
    </w:pPr>
    <w:rPr>
      <w:rFonts w:eastAsia="方正仿宋_GBK"/>
      <w:snapToGrid w:val="0"/>
      <w:kern w:val="0"/>
      <w:sz w:val="28"/>
      <w:szCs w:val="20"/>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widowControl/>
      <w:spacing w:before="100" w:beforeAutospacing="1" w:after="100" w:afterAutospacing="1"/>
      <w:jc w:val="left"/>
    </w:pPr>
    <w:rPr>
      <w:rFonts w:ascii="宋体" w:hAnsi="宋体" w:cs="宋体"/>
      <w:sz w:val="24"/>
    </w:rPr>
  </w:style>
  <w:style w:type="character" w:styleId="12">
    <w:name w:val="page number"/>
    <w:basedOn w:val="11"/>
    <w:semiHidden/>
    <w:unhideWhenUsed/>
    <w:qFormat/>
    <w:uiPriority w:val="99"/>
  </w:style>
  <w:style w:type="paragraph" w:customStyle="1" w:styleId="13">
    <w:name w:val="标题1"/>
    <w:basedOn w:val="1"/>
    <w:next w:val="1"/>
    <w:qFormat/>
    <w:uiPriority w:val="0"/>
    <w:pPr>
      <w:tabs>
        <w:tab w:val="left" w:pos="9193"/>
        <w:tab w:val="left" w:pos="9827"/>
      </w:tabs>
      <w:spacing w:line="700" w:lineRule="atLeast"/>
      <w:ind w:firstLine="0"/>
      <w:jc w:val="center"/>
    </w:pPr>
    <w:rPr>
      <w:rFonts w:eastAsia="方正小标宋_GBK"/>
      <w:sz w:val="44"/>
    </w:rPr>
  </w:style>
  <w:style w:type="paragraph" w:customStyle="1" w:styleId="14">
    <w:name w:val="线型"/>
    <w:basedOn w:val="15"/>
    <w:autoRedefine/>
    <w:qFormat/>
    <w:uiPriority w:val="0"/>
    <w:pPr>
      <w:spacing w:line="240" w:lineRule="auto"/>
      <w:ind w:left="0" w:firstLine="0"/>
      <w:jc w:val="center"/>
    </w:pPr>
  </w:style>
  <w:style w:type="paragraph" w:customStyle="1" w:styleId="15">
    <w:name w:val="抄送栏"/>
    <w:basedOn w:val="1"/>
    <w:autoRedefine/>
    <w:qFormat/>
    <w:uiPriority w:val="0"/>
    <w:pPr>
      <w:adjustRightInd w:val="0"/>
      <w:spacing w:line="454" w:lineRule="atLeast"/>
      <w:ind w:left="1310" w:right="357" w:hanging="953"/>
    </w:pPr>
  </w:style>
  <w:style w:type="paragraph" w:customStyle="1" w:styleId="16">
    <w:name w:val="密级"/>
    <w:basedOn w:val="1"/>
    <w:qFormat/>
    <w:uiPriority w:val="0"/>
    <w:pPr>
      <w:autoSpaceDE w:val="0"/>
      <w:autoSpaceDN w:val="0"/>
      <w:adjustRightInd w:val="0"/>
      <w:snapToGrid/>
      <w:spacing w:line="425" w:lineRule="atLeast"/>
      <w:ind w:firstLine="0"/>
      <w:jc w:val="right"/>
    </w:pPr>
    <w:rPr>
      <w:rFonts w:ascii="黑体" w:eastAsia="黑体"/>
      <w:spacing w:val="0"/>
      <w:kern w:val="0"/>
      <w:sz w:val="30"/>
    </w:rPr>
  </w:style>
  <w:style w:type="paragraph" w:customStyle="1" w:styleId="17">
    <w:name w:val="紧急程度"/>
    <w:basedOn w:val="16"/>
    <w:qFormat/>
    <w:uiPriority w:val="0"/>
    <w:pPr>
      <w:spacing w:line="397" w:lineRule="atLeast"/>
    </w:pPr>
    <w:rPr>
      <w:rFonts w:ascii="汉鼎简黑体" w:hAnsi="汉鼎简黑体" w:eastAsia="汉鼎简黑体"/>
      <w:sz w:val="32"/>
    </w:rPr>
  </w:style>
  <w:style w:type="paragraph" w:customStyle="1" w:styleId="18">
    <w:name w:val="红线"/>
    <w:basedOn w:val="2"/>
    <w:qFormat/>
    <w:uiPriority w:val="0"/>
    <w:pPr>
      <w:keepNext w:val="0"/>
      <w:keepLines w:val="0"/>
      <w:autoSpaceDE w:val="0"/>
      <w:autoSpaceDN w:val="0"/>
      <w:adjustRightInd w:val="0"/>
      <w:snapToGrid/>
      <w:spacing w:before="0" w:after="851" w:line="227" w:lineRule="atLeast"/>
      <w:ind w:right="-142" w:firstLine="0"/>
      <w:jc w:val="center"/>
      <w:outlineLvl w:val="9"/>
    </w:pPr>
    <w:rPr>
      <w:rFonts w:ascii="宋体" w:eastAsia="宋体"/>
      <w:spacing w:val="0"/>
      <w:kern w:val="0"/>
      <w:sz w:val="1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2888</Words>
  <Characters>2983</Characters>
  <Lines>0</Lines>
  <Paragraphs>0</Paragraphs>
  <TotalTime>0</TotalTime>
  <ScaleCrop>false</ScaleCrop>
  <LinksUpToDate>false</LinksUpToDate>
  <CharactersWithSpaces>2995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2025-05-14T00:57:00Z</dcterms:created>
  <dc:creator>Lenovo</dc:creator>
  <cp:lastModifiedBy>王大可</cp:lastModifiedBy>
  <dcterms:modified xsi:type="dcterms:W3CDTF">2026-06-16T08:08:42Z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eyJoZGlkIjoiMjQ0ZjI2MGQ5NTEwMjRjNzkwYjVlNWJhZjZjYWMxODYiLCJ1c2VySWQiOiIyNzY3MzEwMjIifQ==</vt:lpwstr>
  </property>
  <property fmtid="{D5CDD505-2E9C-101B-9397-08002B2CF9AE}" pid="4" name="ICV">
    <vt:lpwstr>0E50BF8EDD494B9DA33388D9E884ADD8_12</vt:lpwstr>
  </property>
</Properties>
</file>